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36" w:rsidRPr="00970E6D" w:rsidRDefault="00124536" w:rsidP="00124536">
      <w:pPr>
        <w:tabs>
          <w:tab w:val="clear" w:pos="567"/>
        </w:tabs>
        <w:jc w:val="center"/>
        <w:rPr>
          <w:b/>
          <w:bCs/>
        </w:rPr>
      </w:pPr>
      <w:bookmarkStart w:id="0" w:name="Content"/>
      <w:bookmarkStart w:id="1" w:name="_Toc106707122"/>
      <w:bookmarkStart w:id="2" w:name="_Toc155675722"/>
      <w:bookmarkStart w:id="3" w:name="_Toc155675934"/>
      <w:bookmarkStart w:id="4" w:name="_Toc155675975"/>
      <w:bookmarkStart w:id="5" w:name="_Toc155676245"/>
      <w:bookmarkStart w:id="6" w:name="_Toc174415768"/>
      <w:bookmarkStart w:id="7" w:name="_Toc367350071"/>
      <w:bookmarkStart w:id="8" w:name="_GoBack"/>
      <w:bookmarkEnd w:id="0"/>
      <w:bookmarkEnd w:id="8"/>
      <w:r w:rsidRPr="00970E6D">
        <w:rPr>
          <w:noProof/>
          <w:lang w:eastAsia="en-AU"/>
        </w:rPr>
        <w:drawing>
          <wp:inline distT="0" distB="0" distL="0" distR="0" wp14:anchorId="4BC6B914" wp14:editId="21B701BE">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Cs/>
          <w:sz w:val="40"/>
          <w:szCs w:val="40"/>
        </w:rPr>
      </w:pPr>
      <w:r>
        <w:rPr>
          <w:b/>
          <w:sz w:val="40"/>
          <w:szCs w:val="40"/>
        </w:rPr>
        <w:t>WELFARE</w:t>
      </w: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6F73EF" w:rsidP="00124536">
      <w:pPr>
        <w:tabs>
          <w:tab w:val="clear" w:pos="567"/>
        </w:tabs>
        <w:jc w:val="center"/>
        <w:rPr>
          <w:b/>
          <w:sz w:val="40"/>
          <w:szCs w:val="40"/>
        </w:rPr>
      </w:pPr>
      <w:r>
        <w:rPr>
          <w:b/>
          <w:sz w:val="40"/>
          <w:szCs w:val="40"/>
        </w:rPr>
        <w:t xml:space="preserve">STAFF </w:t>
      </w:r>
      <w:r w:rsidR="00124536">
        <w:rPr>
          <w:b/>
          <w:sz w:val="40"/>
          <w:szCs w:val="40"/>
        </w:rPr>
        <w:t>DRAFT ASSESSMENT PAPER</w:t>
      </w:r>
      <w:r w:rsidR="00124536">
        <w:rPr>
          <w:b/>
          <w:sz w:val="40"/>
          <w:szCs w:val="40"/>
        </w:rPr>
        <w:br/>
        <w:t>CGC 20</w:t>
      </w:r>
      <w:r w:rsidR="00124536" w:rsidRPr="00970E6D">
        <w:rPr>
          <w:b/>
          <w:sz w:val="40"/>
          <w:szCs w:val="40"/>
        </w:rPr>
        <w:t>1</w:t>
      </w:r>
      <w:r w:rsidR="00124536">
        <w:rPr>
          <w:b/>
          <w:sz w:val="40"/>
          <w:szCs w:val="40"/>
        </w:rPr>
        <w:t>8</w:t>
      </w:r>
      <w:r w:rsidR="00124536" w:rsidRPr="00970E6D">
        <w:rPr>
          <w:b/>
          <w:sz w:val="40"/>
          <w:szCs w:val="40"/>
        </w:rPr>
        <w:t>-</w:t>
      </w:r>
      <w:r w:rsidR="00124536">
        <w:rPr>
          <w:b/>
          <w:sz w:val="40"/>
          <w:szCs w:val="40"/>
        </w:rPr>
        <w:t>01/1</w:t>
      </w:r>
      <w:r w:rsidR="00BD267E">
        <w:rPr>
          <w:b/>
          <w:sz w:val="40"/>
          <w:szCs w:val="40"/>
        </w:rPr>
        <w:t>3</w:t>
      </w:r>
      <w:r w:rsidR="00124536">
        <w:rPr>
          <w:b/>
          <w:sz w:val="40"/>
          <w:szCs w:val="40"/>
        </w:rPr>
        <w:t>-S</w:t>
      </w: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b/>
          <w:sz w:val="40"/>
          <w:szCs w:val="40"/>
        </w:rPr>
      </w:pPr>
    </w:p>
    <w:p w:rsidR="00124536" w:rsidRPr="00970E6D" w:rsidRDefault="00124536" w:rsidP="00124536">
      <w:pPr>
        <w:tabs>
          <w:tab w:val="clear" w:pos="567"/>
        </w:tabs>
        <w:jc w:val="center"/>
        <w:rPr>
          <w:sz w:val="40"/>
          <w:szCs w:val="40"/>
        </w:rPr>
      </w:pPr>
    </w:p>
    <w:p w:rsidR="00124536" w:rsidRPr="00970E6D" w:rsidRDefault="00124536" w:rsidP="00124536">
      <w:pPr>
        <w:tabs>
          <w:tab w:val="clear" w:pos="567"/>
        </w:tabs>
        <w:jc w:val="right"/>
        <w:rPr>
          <w:b/>
          <w:sz w:val="28"/>
          <w:szCs w:val="28"/>
        </w:rPr>
      </w:pPr>
      <w:r>
        <w:rPr>
          <w:b/>
          <w:sz w:val="28"/>
          <w:szCs w:val="28"/>
        </w:rPr>
        <w:t>APRIL 2018</w:t>
      </w:r>
    </w:p>
    <w:p w:rsidR="00124536" w:rsidRPr="00970E6D" w:rsidRDefault="00124536" w:rsidP="00124536">
      <w:pPr>
        <w:tabs>
          <w:tab w:val="clear" w:pos="567"/>
        </w:tabs>
      </w:pPr>
    </w:p>
    <w:p w:rsidR="00124536" w:rsidRPr="00970E6D" w:rsidRDefault="00124536" w:rsidP="00124536">
      <w:pPr>
        <w:tabs>
          <w:tab w:val="clear" w:pos="567"/>
        </w:tabs>
      </w:pPr>
    </w:p>
    <w:tbl>
      <w:tblPr>
        <w:tblStyle w:val="TableGrid"/>
        <w:tblW w:w="5000" w:type="pct"/>
        <w:tblLook w:val="01E0" w:firstRow="1" w:lastRow="1" w:firstColumn="1" w:lastColumn="1" w:noHBand="0" w:noVBand="0"/>
      </w:tblPr>
      <w:tblGrid>
        <w:gridCol w:w="2943"/>
        <w:gridCol w:w="6224"/>
      </w:tblGrid>
      <w:tr w:rsidR="00124536" w:rsidRPr="00970E6D" w:rsidTr="00124536">
        <w:tc>
          <w:tcPr>
            <w:tcW w:w="1605" w:type="pct"/>
            <w:tcBorders>
              <w:top w:val="single" w:sz="4" w:space="0" w:color="auto"/>
              <w:left w:val="single" w:sz="4" w:space="0" w:color="auto"/>
              <w:bottom w:val="single" w:sz="4" w:space="0" w:color="auto"/>
              <w:right w:val="single" w:sz="4" w:space="0" w:color="auto"/>
            </w:tcBorders>
          </w:tcPr>
          <w:p w:rsidR="00124536" w:rsidRPr="00970E6D" w:rsidRDefault="00124536" w:rsidP="00124536">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124536" w:rsidRPr="00970E6D" w:rsidRDefault="00BD267E" w:rsidP="001C2BE7">
            <w:pPr>
              <w:tabs>
                <w:tab w:val="clear" w:pos="567"/>
              </w:tabs>
            </w:pPr>
            <w:r>
              <w:t>20 April 2018</w:t>
            </w:r>
          </w:p>
        </w:tc>
      </w:tr>
      <w:tr w:rsidR="00124536" w:rsidRPr="00970E6D" w:rsidTr="00124536">
        <w:tc>
          <w:tcPr>
            <w:tcW w:w="1605" w:type="pct"/>
            <w:tcBorders>
              <w:top w:val="single" w:sz="4" w:space="0" w:color="auto"/>
              <w:left w:val="single" w:sz="4" w:space="0" w:color="auto"/>
              <w:bottom w:val="single" w:sz="4" w:space="0" w:color="auto"/>
              <w:right w:val="single" w:sz="4" w:space="0" w:color="auto"/>
            </w:tcBorders>
          </w:tcPr>
          <w:p w:rsidR="00124536" w:rsidRPr="00970E6D" w:rsidRDefault="00124536" w:rsidP="00124536">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124536" w:rsidRPr="00970E6D" w:rsidRDefault="000E6E44" w:rsidP="00283C4D">
            <w:pPr>
              <w:tabs>
                <w:tab w:val="clear" w:pos="567"/>
              </w:tabs>
            </w:pPr>
            <w:r>
              <w:t>Robert Walters</w:t>
            </w:r>
            <w:r w:rsidR="00124536" w:rsidRPr="00970E6D">
              <w:t xml:space="preserve">, </w:t>
            </w:r>
            <w:r>
              <w:t>02 6229 8866</w:t>
            </w:r>
            <w:r w:rsidR="00124536" w:rsidRPr="00970E6D">
              <w:t xml:space="preserve">, </w:t>
            </w:r>
            <w:r w:rsidR="00283C4D">
              <w:t>robert.</w:t>
            </w:r>
            <w:r>
              <w:t>walters@</w:t>
            </w:r>
            <w:r w:rsidR="00283C4D">
              <w:t>cgc.gov</w:t>
            </w:r>
            <w:r>
              <w:t>.au</w:t>
            </w:r>
          </w:p>
        </w:tc>
      </w:tr>
      <w:tr w:rsidR="00124536" w:rsidRPr="00970E6D" w:rsidTr="00124536">
        <w:tc>
          <w:tcPr>
            <w:tcW w:w="1605" w:type="pct"/>
            <w:tcBorders>
              <w:top w:val="single" w:sz="4" w:space="0" w:color="auto"/>
              <w:left w:val="single" w:sz="4" w:space="0" w:color="auto"/>
              <w:bottom w:val="single" w:sz="4" w:space="0" w:color="auto"/>
              <w:right w:val="single" w:sz="4" w:space="0" w:color="auto"/>
            </w:tcBorders>
          </w:tcPr>
          <w:p w:rsidR="00124536" w:rsidRPr="00970E6D" w:rsidRDefault="00124536" w:rsidP="00124536">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BD267E" w:rsidRDefault="00BD267E" w:rsidP="00124536">
            <w:pPr>
              <w:tabs>
                <w:tab w:val="clear" w:pos="567"/>
              </w:tabs>
            </w:pPr>
            <w:r>
              <w:t>31 August 2018</w:t>
            </w:r>
            <w:r w:rsidR="00124536" w:rsidRPr="00970E6D">
              <w:t xml:space="preserve">.  </w:t>
            </w:r>
          </w:p>
          <w:p w:rsidR="00124536" w:rsidRPr="00970E6D" w:rsidRDefault="00124536" w:rsidP="00124536">
            <w:pPr>
              <w:tabs>
                <w:tab w:val="clear" w:pos="567"/>
              </w:tabs>
            </w:pPr>
            <w:r w:rsidRPr="00970E6D">
              <w:t xml:space="preserve">Submissions should be emailed in Word format to </w:t>
            </w:r>
            <w:hyperlink r:id="rId8" w:history="1">
              <w:r w:rsidRPr="00970E6D">
                <w:rPr>
                  <w:rStyle w:val="Hyperlink"/>
                </w:rPr>
                <w:t>secretary@cgc.gov.au</w:t>
              </w:r>
            </w:hyperlink>
            <w:r w:rsidRPr="00970E6D">
              <w:t xml:space="preserve"> .</w:t>
            </w:r>
          </w:p>
          <w:p w:rsidR="00124536" w:rsidRPr="00970E6D" w:rsidRDefault="00124536" w:rsidP="00124536">
            <w:pPr>
              <w:tabs>
                <w:tab w:val="clear" w:pos="567"/>
              </w:tabs>
            </w:pPr>
            <w:r w:rsidRPr="00970E6D">
              <w:t xml:space="preserve">Submissions of more than </w:t>
            </w:r>
            <w:r>
              <w:t>10</w:t>
            </w:r>
            <w:r w:rsidRPr="00970E6D">
              <w:t xml:space="preserve"> pages in length should include a summary section.</w:t>
            </w:r>
          </w:p>
        </w:tc>
      </w:tr>
      <w:tr w:rsidR="00124536" w:rsidRPr="00970E6D" w:rsidTr="00124536">
        <w:tc>
          <w:tcPr>
            <w:tcW w:w="1605" w:type="pct"/>
            <w:tcBorders>
              <w:top w:val="single" w:sz="4" w:space="0" w:color="auto"/>
              <w:left w:val="single" w:sz="4" w:space="0" w:color="auto"/>
              <w:bottom w:val="single" w:sz="4" w:space="0" w:color="auto"/>
              <w:right w:val="single" w:sz="4" w:space="0" w:color="auto"/>
            </w:tcBorders>
          </w:tcPr>
          <w:p w:rsidR="00124536" w:rsidRPr="00970E6D" w:rsidRDefault="00124536" w:rsidP="00124536">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124536" w:rsidRPr="00CF1294" w:rsidRDefault="00124536" w:rsidP="00124536">
            <w:pPr>
              <w:tabs>
                <w:tab w:val="clear" w:pos="567"/>
              </w:tabs>
            </w:pPr>
            <w:r w:rsidRPr="00CF1294">
              <w:t xml:space="preserve">It is the </w:t>
            </w:r>
            <w:r w:rsidR="00BD267E">
              <w:t>C</w:t>
            </w:r>
            <w:r w:rsidRPr="00CF1294">
              <w:t xml:space="preserve">ommission’s normal practice to make State submissions available on its website under the CC BY licence, allowing free use of content by third parties. </w:t>
            </w:r>
          </w:p>
          <w:p w:rsidR="00124536" w:rsidRPr="00CF1294" w:rsidRDefault="00124536" w:rsidP="00124536">
            <w:pPr>
              <w:tabs>
                <w:tab w:val="clear" w:pos="567"/>
              </w:tabs>
            </w:pPr>
            <w:r w:rsidRPr="00CF1294">
              <w:rPr>
                <w:noProof/>
                <w:lang w:eastAsia="en-AU"/>
              </w:rPr>
              <w:drawing>
                <wp:inline distT="0" distB="0" distL="0" distR="0" wp14:anchorId="04CAA8D3" wp14:editId="6DBB4F1C">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9"/>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124536" w:rsidRPr="00CF1294" w:rsidRDefault="00124536" w:rsidP="00124536">
            <w:pPr>
              <w:tabs>
                <w:tab w:val="clear" w:pos="567"/>
              </w:tabs>
            </w:pPr>
            <w:r w:rsidRPr="00CF1294">
              <w:t xml:space="preserve">Further information on the CC BY licence can be found </w:t>
            </w:r>
            <w:r w:rsidRPr="00EC79CF">
              <w:t xml:space="preserve">on the </w:t>
            </w:r>
            <w:hyperlink r:id="rId10"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124536" w:rsidRPr="00970E6D" w:rsidRDefault="00124536" w:rsidP="00BD267E">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BD267E">
              <w:t>C</w:t>
            </w:r>
            <w:r w:rsidRPr="00CF1294">
              <w:t>ommission’s website.</w:t>
            </w:r>
          </w:p>
        </w:tc>
      </w:tr>
    </w:tbl>
    <w:p w:rsidR="00124536" w:rsidRPr="00970E6D" w:rsidRDefault="00124536" w:rsidP="00124536">
      <w:pPr>
        <w:tabs>
          <w:tab w:val="clear" w:pos="567"/>
        </w:tabs>
        <w:sectPr w:rsidR="00124536" w:rsidRPr="00970E6D" w:rsidSect="00124536">
          <w:headerReference w:type="first" r:id="rId11"/>
          <w:footerReference w:type="first" r:id="rId12"/>
          <w:pgSz w:w="11899" w:h="16838" w:code="9"/>
          <w:pgMar w:top="1701" w:right="1474" w:bottom="1701" w:left="1474" w:header="709" w:footer="709" w:gutter="0"/>
          <w:cols w:space="708"/>
          <w:vAlign w:val="bottom"/>
          <w:titlePg/>
          <w:docGrid w:linePitch="299"/>
        </w:sectPr>
      </w:pPr>
    </w:p>
    <w:p w:rsidR="00124536" w:rsidRPr="00970E6D" w:rsidRDefault="00124536" w:rsidP="00124536">
      <w:pPr>
        <w:pStyle w:val="Heading1"/>
      </w:pPr>
      <w:bookmarkStart w:id="9" w:name="_Toc505586300"/>
      <w:bookmarkStart w:id="10" w:name="_Toc505589909"/>
      <w:bookmarkStart w:id="11" w:name="_Toc505590092"/>
      <w:bookmarkStart w:id="12" w:name="_Toc505591048"/>
      <w:bookmarkStart w:id="13" w:name="_Toc511036001"/>
      <w:bookmarkStart w:id="14" w:name="_Toc511813725"/>
      <w:r w:rsidRPr="00970E6D">
        <w:lastRenderedPageBreak/>
        <w:t>C</w:t>
      </w:r>
      <w:bookmarkEnd w:id="1"/>
      <w:bookmarkEnd w:id="2"/>
      <w:bookmarkEnd w:id="3"/>
      <w:bookmarkEnd w:id="4"/>
      <w:bookmarkEnd w:id="5"/>
      <w:bookmarkEnd w:id="6"/>
      <w:r>
        <w:t>ontents</w:t>
      </w:r>
      <w:bookmarkEnd w:id="9"/>
      <w:bookmarkEnd w:id="10"/>
      <w:bookmarkEnd w:id="11"/>
      <w:bookmarkEnd w:id="12"/>
      <w:bookmarkEnd w:id="13"/>
      <w:bookmarkEnd w:id="14"/>
    </w:p>
    <w:p w:rsidR="008D057D" w:rsidRDefault="00A13E58" w:rsidP="00CB4F1A">
      <w:pPr>
        <w:pStyle w:val="TOC1"/>
        <w:rPr>
          <w:noProof/>
        </w:rPr>
      </w:pPr>
      <w:r>
        <w:fldChar w:fldCharType="begin"/>
      </w:r>
      <w:r>
        <w:instrText xml:space="preserve"> TOC \f \h \z \u \t "Heading 2,1,Heading 3,1,Heading 4,3" </w:instrText>
      </w:r>
      <w:r>
        <w:fldChar w:fldCharType="separate"/>
      </w:r>
    </w:p>
    <w:p w:rsidR="008D057D" w:rsidRDefault="00101636">
      <w:pPr>
        <w:pStyle w:val="TOC1"/>
        <w:rPr>
          <w:rFonts w:eastAsiaTheme="minorEastAsia"/>
          <w:b w:val="0"/>
          <w:bCs w:val="0"/>
          <w:caps w:val="0"/>
          <w:noProof/>
          <w:sz w:val="22"/>
          <w:szCs w:val="22"/>
          <w:lang w:eastAsia="en-AU"/>
        </w:rPr>
      </w:pPr>
      <w:hyperlink w:anchor="_Toc511816546" w:history="1">
        <w:r w:rsidR="008D057D" w:rsidRPr="0098427F">
          <w:rPr>
            <w:rStyle w:val="Hyperlink"/>
            <w:noProof/>
          </w:rPr>
          <w:t>WELFARE</w:t>
        </w:r>
        <w:r w:rsidR="008D057D">
          <w:rPr>
            <w:noProof/>
            <w:webHidden/>
          </w:rPr>
          <w:tab/>
        </w:r>
        <w:r w:rsidR="008D057D">
          <w:rPr>
            <w:noProof/>
            <w:webHidden/>
          </w:rPr>
          <w:fldChar w:fldCharType="begin"/>
        </w:r>
        <w:r w:rsidR="008D057D">
          <w:rPr>
            <w:noProof/>
            <w:webHidden/>
          </w:rPr>
          <w:instrText xml:space="preserve"> PAGEREF _Toc511816546 \h </w:instrText>
        </w:r>
        <w:r w:rsidR="008D057D">
          <w:rPr>
            <w:noProof/>
            <w:webHidden/>
          </w:rPr>
        </w:r>
        <w:r w:rsidR="008D057D">
          <w:rPr>
            <w:noProof/>
            <w:webHidden/>
          </w:rPr>
          <w:fldChar w:fldCharType="separate"/>
        </w:r>
        <w:r w:rsidR="00835CFE">
          <w:rPr>
            <w:noProof/>
            <w:webHidden/>
          </w:rPr>
          <w:t>2</w:t>
        </w:r>
        <w:r w:rsidR="008D057D">
          <w:rPr>
            <w:noProof/>
            <w:webHidden/>
          </w:rPr>
          <w:fldChar w:fldCharType="end"/>
        </w:r>
      </w:hyperlink>
    </w:p>
    <w:p w:rsidR="008D057D" w:rsidRDefault="00101636">
      <w:pPr>
        <w:pStyle w:val="TOC1"/>
        <w:rPr>
          <w:rFonts w:eastAsiaTheme="minorEastAsia"/>
          <w:b w:val="0"/>
          <w:bCs w:val="0"/>
          <w:caps w:val="0"/>
          <w:noProof/>
          <w:sz w:val="22"/>
          <w:szCs w:val="22"/>
          <w:lang w:eastAsia="en-AU"/>
        </w:rPr>
      </w:pPr>
      <w:hyperlink w:anchor="_Toc511816547" w:history="1">
        <w:r w:rsidR="008D057D" w:rsidRPr="0098427F">
          <w:rPr>
            <w:rStyle w:val="Hyperlink"/>
            <w:noProof/>
          </w:rPr>
          <w:t>2015 REVIEW APPROACH</w:t>
        </w:r>
        <w:r w:rsidR="008D057D">
          <w:rPr>
            <w:noProof/>
            <w:webHidden/>
          </w:rPr>
          <w:tab/>
        </w:r>
        <w:r w:rsidR="008D057D">
          <w:rPr>
            <w:noProof/>
            <w:webHidden/>
          </w:rPr>
          <w:fldChar w:fldCharType="begin"/>
        </w:r>
        <w:r w:rsidR="008D057D">
          <w:rPr>
            <w:noProof/>
            <w:webHidden/>
          </w:rPr>
          <w:instrText xml:space="preserve"> PAGEREF _Toc511816547 \h </w:instrText>
        </w:r>
        <w:r w:rsidR="008D057D">
          <w:rPr>
            <w:noProof/>
            <w:webHidden/>
          </w:rPr>
        </w:r>
        <w:r w:rsidR="008D057D">
          <w:rPr>
            <w:noProof/>
            <w:webHidden/>
          </w:rPr>
          <w:fldChar w:fldCharType="separate"/>
        </w:r>
        <w:r w:rsidR="00835CFE">
          <w:rPr>
            <w:noProof/>
            <w:webHidden/>
          </w:rPr>
          <w:t>2</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48" w:history="1">
        <w:r w:rsidR="008D057D" w:rsidRPr="0098427F">
          <w:rPr>
            <w:rStyle w:val="Hyperlink"/>
            <w:noProof/>
          </w:rPr>
          <w:t>Services included in this category</w:t>
        </w:r>
        <w:r w:rsidR="008D057D">
          <w:rPr>
            <w:noProof/>
            <w:webHidden/>
          </w:rPr>
          <w:tab/>
        </w:r>
        <w:r w:rsidR="008D057D">
          <w:rPr>
            <w:noProof/>
            <w:webHidden/>
          </w:rPr>
          <w:fldChar w:fldCharType="begin"/>
        </w:r>
        <w:r w:rsidR="008D057D">
          <w:rPr>
            <w:noProof/>
            <w:webHidden/>
          </w:rPr>
          <w:instrText xml:space="preserve"> PAGEREF _Toc511816548 \h </w:instrText>
        </w:r>
        <w:r w:rsidR="008D057D">
          <w:rPr>
            <w:noProof/>
            <w:webHidden/>
          </w:rPr>
        </w:r>
        <w:r w:rsidR="008D057D">
          <w:rPr>
            <w:noProof/>
            <w:webHidden/>
          </w:rPr>
          <w:fldChar w:fldCharType="separate"/>
        </w:r>
        <w:r w:rsidR="00835CFE">
          <w:rPr>
            <w:noProof/>
            <w:webHidden/>
          </w:rPr>
          <w:t>2</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49" w:history="1">
        <w:r w:rsidR="008D057D" w:rsidRPr="0098427F">
          <w:rPr>
            <w:rStyle w:val="Hyperlink"/>
            <w:noProof/>
          </w:rPr>
          <w:t>Category and component expenses</w:t>
        </w:r>
        <w:r w:rsidR="008D057D">
          <w:rPr>
            <w:noProof/>
            <w:webHidden/>
          </w:rPr>
          <w:tab/>
        </w:r>
        <w:r w:rsidR="008D057D">
          <w:rPr>
            <w:noProof/>
            <w:webHidden/>
          </w:rPr>
          <w:fldChar w:fldCharType="begin"/>
        </w:r>
        <w:r w:rsidR="008D057D">
          <w:rPr>
            <w:noProof/>
            <w:webHidden/>
          </w:rPr>
          <w:instrText xml:space="preserve"> PAGEREF _Toc511816549 \h </w:instrText>
        </w:r>
        <w:r w:rsidR="008D057D">
          <w:rPr>
            <w:noProof/>
            <w:webHidden/>
          </w:rPr>
        </w:r>
        <w:r w:rsidR="008D057D">
          <w:rPr>
            <w:noProof/>
            <w:webHidden/>
          </w:rPr>
          <w:fldChar w:fldCharType="separate"/>
        </w:r>
        <w:r w:rsidR="00835CFE">
          <w:rPr>
            <w:noProof/>
            <w:webHidden/>
          </w:rPr>
          <w:t>2</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0" w:history="1">
        <w:r w:rsidR="008D057D" w:rsidRPr="0098427F">
          <w:rPr>
            <w:rStyle w:val="Hyperlink"/>
            <w:noProof/>
          </w:rPr>
          <w:t>Data sources and assessment methods</w:t>
        </w:r>
        <w:r w:rsidR="008D057D">
          <w:rPr>
            <w:noProof/>
            <w:webHidden/>
          </w:rPr>
          <w:tab/>
        </w:r>
        <w:r w:rsidR="008D057D">
          <w:rPr>
            <w:noProof/>
            <w:webHidden/>
          </w:rPr>
          <w:fldChar w:fldCharType="begin"/>
        </w:r>
        <w:r w:rsidR="008D057D">
          <w:rPr>
            <w:noProof/>
            <w:webHidden/>
          </w:rPr>
          <w:instrText xml:space="preserve"> PAGEREF _Toc511816550 \h </w:instrText>
        </w:r>
        <w:r w:rsidR="008D057D">
          <w:rPr>
            <w:noProof/>
            <w:webHidden/>
          </w:rPr>
        </w:r>
        <w:r w:rsidR="008D057D">
          <w:rPr>
            <w:noProof/>
            <w:webHidden/>
          </w:rPr>
          <w:fldChar w:fldCharType="separate"/>
        </w:r>
        <w:r w:rsidR="00835CFE">
          <w:rPr>
            <w:noProof/>
            <w:webHidden/>
          </w:rPr>
          <w:t>3</w:t>
        </w:r>
        <w:r w:rsidR="008D057D">
          <w:rPr>
            <w:noProof/>
            <w:webHidden/>
          </w:rPr>
          <w:fldChar w:fldCharType="end"/>
        </w:r>
      </w:hyperlink>
    </w:p>
    <w:p w:rsidR="008D057D" w:rsidRDefault="00101636">
      <w:pPr>
        <w:pStyle w:val="TOC1"/>
        <w:rPr>
          <w:rFonts w:eastAsiaTheme="minorEastAsia"/>
          <w:b w:val="0"/>
          <w:bCs w:val="0"/>
          <w:caps w:val="0"/>
          <w:noProof/>
          <w:sz w:val="22"/>
          <w:szCs w:val="22"/>
          <w:lang w:eastAsia="en-AU"/>
        </w:rPr>
      </w:pPr>
      <w:hyperlink w:anchor="_Toc511816551" w:history="1">
        <w:r w:rsidR="008D057D" w:rsidRPr="0098427F">
          <w:rPr>
            <w:rStyle w:val="Hyperlink"/>
            <w:noProof/>
          </w:rPr>
          <w:t>ISSUES AND ANALYSIS</w:t>
        </w:r>
        <w:r w:rsidR="008D057D">
          <w:rPr>
            <w:noProof/>
            <w:webHidden/>
          </w:rPr>
          <w:tab/>
        </w:r>
        <w:r w:rsidR="008D057D">
          <w:rPr>
            <w:noProof/>
            <w:webHidden/>
          </w:rPr>
          <w:fldChar w:fldCharType="begin"/>
        </w:r>
        <w:r w:rsidR="008D057D">
          <w:rPr>
            <w:noProof/>
            <w:webHidden/>
          </w:rPr>
          <w:instrText xml:space="preserve"> PAGEREF _Toc511816551 \h </w:instrText>
        </w:r>
        <w:r w:rsidR="008D057D">
          <w:rPr>
            <w:noProof/>
            <w:webHidden/>
          </w:rPr>
        </w:r>
        <w:r w:rsidR="008D057D">
          <w:rPr>
            <w:noProof/>
            <w:webHidden/>
          </w:rPr>
          <w:fldChar w:fldCharType="separate"/>
        </w:r>
        <w:r w:rsidR="00835CFE">
          <w:rPr>
            <w:noProof/>
            <w:webHidden/>
          </w:rPr>
          <w:t>6</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2" w:history="1">
        <w:r w:rsidR="008D057D" w:rsidRPr="0098427F">
          <w:rPr>
            <w:rStyle w:val="Hyperlink"/>
            <w:noProof/>
          </w:rPr>
          <w:t>Family and child services</w:t>
        </w:r>
        <w:r w:rsidR="008D057D">
          <w:rPr>
            <w:noProof/>
            <w:webHidden/>
          </w:rPr>
          <w:tab/>
        </w:r>
        <w:r w:rsidR="008D057D">
          <w:rPr>
            <w:noProof/>
            <w:webHidden/>
          </w:rPr>
          <w:fldChar w:fldCharType="begin"/>
        </w:r>
        <w:r w:rsidR="008D057D">
          <w:rPr>
            <w:noProof/>
            <w:webHidden/>
          </w:rPr>
          <w:instrText xml:space="preserve"> PAGEREF _Toc511816552 \h </w:instrText>
        </w:r>
        <w:r w:rsidR="008D057D">
          <w:rPr>
            <w:noProof/>
            <w:webHidden/>
          </w:rPr>
        </w:r>
        <w:r w:rsidR="008D057D">
          <w:rPr>
            <w:noProof/>
            <w:webHidden/>
          </w:rPr>
          <w:fldChar w:fldCharType="separate"/>
        </w:r>
        <w:r w:rsidR="00835CFE">
          <w:rPr>
            <w:noProof/>
            <w:webHidden/>
          </w:rPr>
          <w:t>6</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3" w:history="1">
        <w:r w:rsidR="008D057D" w:rsidRPr="0098427F">
          <w:rPr>
            <w:rStyle w:val="Hyperlink"/>
            <w:noProof/>
          </w:rPr>
          <w:t>Aged care</w:t>
        </w:r>
        <w:r w:rsidR="008D057D">
          <w:rPr>
            <w:noProof/>
            <w:webHidden/>
          </w:rPr>
          <w:tab/>
        </w:r>
        <w:r w:rsidR="008D057D">
          <w:rPr>
            <w:noProof/>
            <w:webHidden/>
          </w:rPr>
          <w:fldChar w:fldCharType="begin"/>
        </w:r>
        <w:r w:rsidR="008D057D">
          <w:rPr>
            <w:noProof/>
            <w:webHidden/>
          </w:rPr>
          <w:instrText xml:space="preserve"> PAGEREF _Toc511816553 \h </w:instrText>
        </w:r>
        <w:r w:rsidR="008D057D">
          <w:rPr>
            <w:noProof/>
            <w:webHidden/>
          </w:rPr>
        </w:r>
        <w:r w:rsidR="008D057D">
          <w:rPr>
            <w:noProof/>
            <w:webHidden/>
          </w:rPr>
          <w:fldChar w:fldCharType="separate"/>
        </w:r>
        <w:r w:rsidR="00835CFE">
          <w:rPr>
            <w:noProof/>
            <w:webHidden/>
          </w:rPr>
          <w:t>7</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4" w:history="1">
        <w:r w:rsidR="008D057D" w:rsidRPr="0098427F">
          <w:rPr>
            <w:rStyle w:val="Hyperlink"/>
            <w:noProof/>
          </w:rPr>
          <w:t>Disability services</w:t>
        </w:r>
        <w:r w:rsidR="008D057D">
          <w:rPr>
            <w:noProof/>
            <w:webHidden/>
          </w:rPr>
          <w:tab/>
        </w:r>
        <w:r w:rsidR="008D057D">
          <w:rPr>
            <w:noProof/>
            <w:webHidden/>
          </w:rPr>
          <w:fldChar w:fldCharType="begin"/>
        </w:r>
        <w:r w:rsidR="008D057D">
          <w:rPr>
            <w:noProof/>
            <w:webHidden/>
          </w:rPr>
          <w:instrText xml:space="preserve"> PAGEREF _Toc511816554 \h </w:instrText>
        </w:r>
        <w:r w:rsidR="008D057D">
          <w:rPr>
            <w:noProof/>
            <w:webHidden/>
          </w:rPr>
        </w:r>
        <w:r w:rsidR="008D057D">
          <w:rPr>
            <w:noProof/>
            <w:webHidden/>
          </w:rPr>
          <w:fldChar w:fldCharType="separate"/>
        </w:r>
        <w:r w:rsidR="00835CFE">
          <w:rPr>
            <w:noProof/>
            <w:webHidden/>
          </w:rPr>
          <w:t>8</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5" w:history="1">
        <w:r w:rsidR="008D057D" w:rsidRPr="0098427F">
          <w:rPr>
            <w:rStyle w:val="Hyperlink"/>
            <w:noProof/>
          </w:rPr>
          <w:t>General welfare services</w:t>
        </w:r>
        <w:r w:rsidR="008D057D">
          <w:rPr>
            <w:noProof/>
            <w:webHidden/>
          </w:rPr>
          <w:tab/>
        </w:r>
        <w:r w:rsidR="008D057D">
          <w:rPr>
            <w:noProof/>
            <w:webHidden/>
          </w:rPr>
          <w:fldChar w:fldCharType="begin"/>
        </w:r>
        <w:r w:rsidR="008D057D">
          <w:rPr>
            <w:noProof/>
            <w:webHidden/>
          </w:rPr>
          <w:instrText xml:space="preserve"> PAGEREF _Toc511816555 \h </w:instrText>
        </w:r>
        <w:r w:rsidR="008D057D">
          <w:rPr>
            <w:noProof/>
            <w:webHidden/>
          </w:rPr>
        </w:r>
        <w:r w:rsidR="008D057D">
          <w:rPr>
            <w:noProof/>
            <w:webHidden/>
          </w:rPr>
          <w:fldChar w:fldCharType="separate"/>
        </w:r>
        <w:r w:rsidR="00835CFE">
          <w:rPr>
            <w:noProof/>
            <w:webHidden/>
          </w:rPr>
          <w:t>10</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6" w:history="1">
        <w:r w:rsidR="008D057D" w:rsidRPr="0098427F">
          <w:rPr>
            <w:rStyle w:val="Hyperlink"/>
            <w:noProof/>
          </w:rPr>
          <w:t>User charges</w:t>
        </w:r>
        <w:r w:rsidR="008D057D">
          <w:rPr>
            <w:noProof/>
            <w:webHidden/>
          </w:rPr>
          <w:tab/>
        </w:r>
        <w:r w:rsidR="008D057D">
          <w:rPr>
            <w:noProof/>
            <w:webHidden/>
          </w:rPr>
          <w:fldChar w:fldCharType="begin"/>
        </w:r>
        <w:r w:rsidR="008D057D">
          <w:rPr>
            <w:noProof/>
            <w:webHidden/>
          </w:rPr>
          <w:instrText xml:space="preserve"> PAGEREF _Toc511816556 \h </w:instrText>
        </w:r>
        <w:r w:rsidR="008D057D">
          <w:rPr>
            <w:noProof/>
            <w:webHidden/>
          </w:rPr>
        </w:r>
        <w:r w:rsidR="008D057D">
          <w:rPr>
            <w:noProof/>
            <w:webHidden/>
          </w:rPr>
          <w:fldChar w:fldCharType="separate"/>
        </w:r>
        <w:r w:rsidR="00835CFE">
          <w:rPr>
            <w:noProof/>
            <w:webHidden/>
          </w:rPr>
          <w:t>12</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7" w:history="1">
        <w:r w:rsidR="008D057D" w:rsidRPr="0098427F">
          <w:rPr>
            <w:rStyle w:val="Hyperlink"/>
            <w:noProof/>
          </w:rPr>
          <w:t>Other issues considered and settled</w:t>
        </w:r>
        <w:r w:rsidR="008D057D">
          <w:rPr>
            <w:noProof/>
            <w:webHidden/>
          </w:rPr>
          <w:tab/>
        </w:r>
        <w:r w:rsidR="008D057D">
          <w:rPr>
            <w:noProof/>
            <w:webHidden/>
          </w:rPr>
          <w:fldChar w:fldCharType="begin"/>
        </w:r>
        <w:r w:rsidR="008D057D">
          <w:rPr>
            <w:noProof/>
            <w:webHidden/>
          </w:rPr>
          <w:instrText xml:space="preserve"> PAGEREF _Toc511816557 \h </w:instrText>
        </w:r>
        <w:r w:rsidR="008D057D">
          <w:rPr>
            <w:noProof/>
            <w:webHidden/>
          </w:rPr>
        </w:r>
        <w:r w:rsidR="008D057D">
          <w:rPr>
            <w:noProof/>
            <w:webHidden/>
          </w:rPr>
          <w:fldChar w:fldCharType="separate"/>
        </w:r>
        <w:r w:rsidR="00835CFE">
          <w:rPr>
            <w:noProof/>
            <w:webHidden/>
          </w:rPr>
          <w:t>12</w:t>
        </w:r>
        <w:r w:rsidR="008D057D">
          <w:rPr>
            <w:noProof/>
            <w:webHidden/>
          </w:rPr>
          <w:fldChar w:fldCharType="end"/>
        </w:r>
      </w:hyperlink>
    </w:p>
    <w:p w:rsidR="008D057D" w:rsidRDefault="00101636">
      <w:pPr>
        <w:pStyle w:val="TOC1"/>
        <w:rPr>
          <w:rFonts w:eastAsiaTheme="minorEastAsia"/>
          <w:b w:val="0"/>
          <w:bCs w:val="0"/>
          <w:caps w:val="0"/>
          <w:noProof/>
          <w:sz w:val="22"/>
          <w:szCs w:val="22"/>
          <w:lang w:eastAsia="en-AU"/>
        </w:rPr>
      </w:pPr>
      <w:hyperlink w:anchor="_Toc511816558" w:history="1">
        <w:r w:rsidR="008D057D" w:rsidRPr="0098427F">
          <w:rPr>
            <w:rStyle w:val="Hyperlink"/>
            <w:noProof/>
          </w:rPr>
          <w:t>Conclusion and way forward</w:t>
        </w:r>
        <w:r w:rsidR="008D057D">
          <w:rPr>
            <w:noProof/>
            <w:webHidden/>
          </w:rPr>
          <w:tab/>
        </w:r>
        <w:r w:rsidR="008D057D">
          <w:rPr>
            <w:noProof/>
            <w:webHidden/>
          </w:rPr>
          <w:fldChar w:fldCharType="begin"/>
        </w:r>
        <w:r w:rsidR="008D057D">
          <w:rPr>
            <w:noProof/>
            <w:webHidden/>
          </w:rPr>
          <w:instrText xml:space="preserve"> PAGEREF _Toc511816558 \h </w:instrText>
        </w:r>
        <w:r w:rsidR="008D057D">
          <w:rPr>
            <w:noProof/>
            <w:webHidden/>
          </w:rPr>
        </w:r>
        <w:r w:rsidR="008D057D">
          <w:rPr>
            <w:noProof/>
            <w:webHidden/>
          </w:rPr>
          <w:fldChar w:fldCharType="separate"/>
        </w:r>
        <w:r w:rsidR="00835CFE">
          <w:rPr>
            <w:noProof/>
            <w:webHidden/>
          </w:rPr>
          <w:t>12</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59" w:history="1">
        <w:r w:rsidR="008D057D" w:rsidRPr="0098427F">
          <w:rPr>
            <w:rStyle w:val="Hyperlink"/>
            <w:noProof/>
          </w:rPr>
          <w:t>Proposed assessment structure</w:t>
        </w:r>
        <w:r w:rsidR="008D057D">
          <w:rPr>
            <w:noProof/>
            <w:webHidden/>
          </w:rPr>
          <w:tab/>
        </w:r>
        <w:r w:rsidR="008D057D">
          <w:rPr>
            <w:noProof/>
            <w:webHidden/>
          </w:rPr>
          <w:fldChar w:fldCharType="begin"/>
        </w:r>
        <w:r w:rsidR="008D057D">
          <w:rPr>
            <w:noProof/>
            <w:webHidden/>
          </w:rPr>
          <w:instrText xml:space="preserve"> PAGEREF _Toc511816559 \h </w:instrText>
        </w:r>
        <w:r w:rsidR="008D057D">
          <w:rPr>
            <w:noProof/>
            <w:webHidden/>
          </w:rPr>
        </w:r>
        <w:r w:rsidR="008D057D">
          <w:rPr>
            <w:noProof/>
            <w:webHidden/>
          </w:rPr>
          <w:fldChar w:fldCharType="separate"/>
        </w:r>
        <w:r w:rsidR="00835CFE">
          <w:rPr>
            <w:noProof/>
            <w:webHidden/>
          </w:rPr>
          <w:t>13</w:t>
        </w:r>
        <w:r w:rsidR="008D057D">
          <w:rPr>
            <w:noProof/>
            <w:webHidden/>
          </w:rPr>
          <w:fldChar w:fldCharType="end"/>
        </w:r>
      </w:hyperlink>
    </w:p>
    <w:p w:rsidR="008D057D" w:rsidRDefault="00101636">
      <w:pPr>
        <w:pStyle w:val="TOC3"/>
        <w:rPr>
          <w:rFonts w:eastAsiaTheme="minorEastAsia"/>
          <w:iCs w:val="0"/>
          <w:caps w:val="0"/>
          <w:noProof/>
          <w:sz w:val="22"/>
          <w:szCs w:val="22"/>
          <w:lang w:eastAsia="en-AU"/>
        </w:rPr>
      </w:pPr>
      <w:hyperlink w:anchor="_Toc511816560" w:history="1">
        <w:r w:rsidR="008D057D" w:rsidRPr="0098427F">
          <w:rPr>
            <w:rStyle w:val="Hyperlink"/>
            <w:noProof/>
          </w:rPr>
          <w:t>Data / information sought from States</w:t>
        </w:r>
        <w:r w:rsidR="008D057D">
          <w:rPr>
            <w:noProof/>
            <w:webHidden/>
          </w:rPr>
          <w:tab/>
        </w:r>
        <w:r w:rsidR="008D057D">
          <w:rPr>
            <w:noProof/>
            <w:webHidden/>
          </w:rPr>
          <w:fldChar w:fldCharType="begin"/>
        </w:r>
        <w:r w:rsidR="008D057D">
          <w:rPr>
            <w:noProof/>
            <w:webHidden/>
          </w:rPr>
          <w:instrText xml:space="preserve"> PAGEREF _Toc511816560 \h </w:instrText>
        </w:r>
        <w:r w:rsidR="008D057D">
          <w:rPr>
            <w:noProof/>
            <w:webHidden/>
          </w:rPr>
        </w:r>
        <w:r w:rsidR="008D057D">
          <w:rPr>
            <w:noProof/>
            <w:webHidden/>
          </w:rPr>
          <w:fldChar w:fldCharType="separate"/>
        </w:r>
        <w:r w:rsidR="00835CFE">
          <w:rPr>
            <w:noProof/>
            <w:webHidden/>
          </w:rPr>
          <w:t>13</w:t>
        </w:r>
        <w:r w:rsidR="008D057D">
          <w:rPr>
            <w:noProof/>
            <w:webHidden/>
          </w:rPr>
          <w:fldChar w:fldCharType="end"/>
        </w:r>
      </w:hyperlink>
    </w:p>
    <w:p w:rsidR="00124536" w:rsidRPr="00970E6D" w:rsidRDefault="00A13E58" w:rsidP="00CB4F1A">
      <w:pPr>
        <w:pStyle w:val="TOC1"/>
      </w:pPr>
      <w:r>
        <w:fldChar w:fldCharType="end"/>
      </w:r>
    </w:p>
    <w:p w:rsidR="00124536" w:rsidRPr="00970E6D" w:rsidRDefault="00124536" w:rsidP="00124536">
      <w:pPr>
        <w:tabs>
          <w:tab w:val="clear" w:pos="567"/>
        </w:tabs>
        <w:sectPr w:rsidR="00124536" w:rsidRPr="00970E6D" w:rsidSect="00124536">
          <w:headerReference w:type="first" r:id="rId13"/>
          <w:footerReference w:type="first" r:id="rId14"/>
          <w:pgSz w:w="11899" w:h="16838" w:code="9"/>
          <w:pgMar w:top="1701" w:right="1474" w:bottom="1701" w:left="1474" w:header="709" w:footer="709" w:gutter="0"/>
          <w:pgNumType w:fmt="lowerRoman" w:start="1"/>
          <w:cols w:space="708"/>
          <w:titlePg/>
          <w:docGrid w:linePitch="299"/>
        </w:sectPr>
      </w:pPr>
    </w:p>
    <w:p w:rsidR="00C6384C" w:rsidRDefault="00C6384C" w:rsidP="00C6384C">
      <w:pPr>
        <w:pStyle w:val="Heading2"/>
      </w:pPr>
      <w:bookmarkStart w:id="15" w:name="_Toc511813726"/>
      <w:bookmarkStart w:id="16" w:name="_Toc511813741"/>
      <w:bookmarkStart w:id="17" w:name="_Toc511813822"/>
      <w:bookmarkStart w:id="18" w:name="_Toc511813916"/>
      <w:bookmarkStart w:id="19" w:name="_Toc511814002"/>
      <w:bookmarkStart w:id="20" w:name="_Toc511816531"/>
      <w:bookmarkStart w:id="21" w:name="_Toc511816546"/>
      <w:r>
        <w:lastRenderedPageBreak/>
        <w:t>WELFARE</w:t>
      </w:r>
      <w:bookmarkEnd w:id="15"/>
      <w:bookmarkEnd w:id="16"/>
      <w:bookmarkEnd w:id="17"/>
      <w:bookmarkEnd w:id="18"/>
      <w:bookmarkEnd w:id="19"/>
      <w:bookmarkEnd w:id="20"/>
      <w:bookmarkEnd w:id="21"/>
    </w:p>
    <w:p w:rsidR="00BD267E" w:rsidRDefault="00BD267E" w:rsidP="00BD267E">
      <w:pPr>
        <w:pStyle w:val="CGCNumberedPara"/>
      </w:pPr>
      <w:r>
        <w:t>Th</w:t>
      </w:r>
      <w:r w:rsidR="007A6517">
        <w:t>is</w:t>
      </w:r>
      <w:r>
        <w:t xml:space="preserve"> paper provides the Commission staff proposals for the assessment of Welfare expenses for the 2020 Review.</w:t>
      </w:r>
    </w:p>
    <w:p w:rsidR="0010505B" w:rsidRPr="00CB4F1A" w:rsidRDefault="0010505B" w:rsidP="0010505B">
      <w:pPr>
        <w:pStyle w:val="Heading3"/>
      </w:pPr>
      <w:bookmarkStart w:id="22" w:name="_Toc511036002"/>
      <w:bookmarkStart w:id="23" w:name="_Toc511813727"/>
      <w:bookmarkStart w:id="24" w:name="_Toc511813742"/>
      <w:bookmarkStart w:id="25" w:name="_Toc511813823"/>
      <w:bookmarkStart w:id="26" w:name="_Toc511813917"/>
      <w:bookmarkStart w:id="27" w:name="_Toc511814003"/>
      <w:bookmarkStart w:id="28" w:name="_Toc511816532"/>
      <w:bookmarkStart w:id="29" w:name="_Toc511816547"/>
      <w:r w:rsidRPr="00CB4F1A">
        <w:t>201</w:t>
      </w:r>
      <w:r w:rsidR="00EE156F" w:rsidRPr="00CB4F1A">
        <w:t>5</w:t>
      </w:r>
      <w:r w:rsidRPr="00CB4F1A">
        <w:t xml:space="preserve"> </w:t>
      </w:r>
      <w:r w:rsidR="00855937" w:rsidRPr="00CB4F1A">
        <w:t>R</w:t>
      </w:r>
      <w:r w:rsidR="00AC3332" w:rsidRPr="00CB4F1A">
        <w:t>EVIEW APPROACH</w:t>
      </w:r>
      <w:bookmarkEnd w:id="7"/>
      <w:bookmarkEnd w:id="22"/>
      <w:bookmarkEnd w:id="23"/>
      <w:bookmarkEnd w:id="24"/>
      <w:bookmarkEnd w:id="25"/>
      <w:bookmarkEnd w:id="26"/>
      <w:bookmarkEnd w:id="27"/>
      <w:bookmarkEnd w:id="28"/>
      <w:bookmarkEnd w:id="29"/>
    </w:p>
    <w:p w:rsidR="0050644D" w:rsidRPr="002132CC" w:rsidRDefault="0050644D" w:rsidP="00C97D3B">
      <w:pPr>
        <w:pStyle w:val="Heading4"/>
      </w:pPr>
      <w:bookmarkStart w:id="30" w:name="_Toc511036003"/>
      <w:bookmarkStart w:id="31" w:name="_Toc511813728"/>
      <w:bookmarkStart w:id="32" w:name="_Toc511813743"/>
      <w:bookmarkStart w:id="33" w:name="_Toc511813824"/>
      <w:bookmarkStart w:id="34" w:name="_Toc511813918"/>
      <w:bookmarkStart w:id="35" w:name="_Toc511814004"/>
      <w:bookmarkStart w:id="36" w:name="_Toc511816533"/>
      <w:bookmarkStart w:id="37" w:name="_Toc511816548"/>
      <w:r w:rsidRPr="002132CC">
        <w:t>Services included in this category</w:t>
      </w:r>
      <w:bookmarkEnd w:id="30"/>
      <w:bookmarkEnd w:id="31"/>
      <w:bookmarkEnd w:id="32"/>
      <w:bookmarkEnd w:id="33"/>
      <w:bookmarkEnd w:id="34"/>
      <w:bookmarkEnd w:id="35"/>
      <w:bookmarkEnd w:id="36"/>
      <w:bookmarkEnd w:id="37"/>
    </w:p>
    <w:p w:rsidR="00A10647" w:rsidRDefault="0010505B" w:rsidP="0010505B">
      <w:pPr>
        <w:pStyle w:val="CGCNumberedPara"/>
        <w:numPr>
          <w:ilvl w:val="1"/>
          <w:numId w:val="41"/>
        </w:numPr>
      </w:pPr>
      <w:r w:rsidRPr="00741FF2">
        <w:t xml:space="preserve">The Welfare category </w:t>
      </w:r>
      <w:r w:rsidR="00D26F63" w:rsidRPr="00741FF2">
        <w:t>encompasse</w:t>
      </w:r>
      <w:r w:rsidR="0050644D">
        <w:t>s</w:t>
      </w:r>
      <w:r w:rsidRPr="00741FF2">
        <w:t xml:space="preserve"> State expenses on the provision of </w:t>
      </w:r>
      <w:r w:rsidR="00B40A08">
        <w:t xml:space="preserve">welfare </w:t>
      </w:r>
      <w:r w:rsidRPr="00741FF2">
        <w:t>services</w:t>
      </w:r>
      <w:r w:rsidR="00A10647">
        <w:t>, comprising:</w:t>
      </w:r>
    </w:p>
    <w:p w:rsidR="00A10647" w:rsidRPr="00741FF2" w:rsidRDefault="00A10647" w:rsidP="0072498B">
      <w:pPr>
        <w:pStyle w:val="CGCBulletlist"/>
      </w:pPr>
      <w:r w:rsidRPr="00741FF2">
        <w:t>family and child services (dominated by child protection-related expenses)</w:t>
      </w:r>
    </w:p>
    <w:p w:rsidR="00A10647" w:rsidRPr="00741FF2" w:rsidRDefault="00A10647" w:rsidP="0072498B">
      <w:pPr>
        <w:pStyle w:val="CGCBulletlist"/>
      </w:pPr>
      <w:r w:rsidRPr="00741FF2">
        <w:t>aged care services</w:t>
      </w:r>
    </w:p>
    <w:p w:rsidR="00A10647" w:rsidRPr="00741FF2" w:rsidRDefault="00A10647" w:rsidP="0072498B">
      <w:pPr>
        <w:pStyle w:val="CGCBulletlist"/>
      </w:pPr>
      <w:r w:rsidRPr="00741FF2">
        <w:t>services for people with a disability</w:t>
      </w:r>
    </w:p>
    <w:p w:rsidR="00A10647" w:rsidRPr="00741FF2" w:rsidRDefault="00A10647" w:rsidP="0072498B">
      <w:pPr>
        <w:pStyle w:val="CGCBulletlist"/>
      </w:pPr>
      <w:r w:rsidRPr="00741FF2">
        <w:t>general welfare services</w:t>
      </w:r>
      <w:r w:rsidR="00D26F63">
        <w:t xml:space="preserve"> (</w:t>
      </w:r>
      <w:r w:rsidRPr="00741FF2">
        <w:t xml:space="preserve">including </w:t>
      </w:r>
      <w:r w:rsidR="001F431F">
        <w:t xml:space="preserve">concessions, </w:t>
      </w:r>
      <w:r w:rsidR="00C61241">
        <w:t>assistance to the homeless,</w:t>
      </w:r>
      <w:r w:rsidRPr="00741FF2">
        <w:t xml:space="preserve"> women’s shelters</w:t>
      </w:r>
      <w:r w:rsidR="00C61241">
        <w:t xml:space="preserve"> and</w:t>
      </w:r>
      <w:r w:rsidRPr="00741FF2">
        <w:t xml:space="preserve"> information, advice and referral services).</w:t>
      </w:r>
    </w:p>
    <w:p w:rsidR="0050644D" w:rsidRPr="00C3140C" w:rsidRDefault="0050644D" w:rsidP="00C3140C">
      <w:pPr>
        <w:pStyle w:val="Heading4"/>
      </w:pPr>
      <w:bookmarkStart w:id="38" w:name="_Toc511036004"/>
      <w:bookmarkStart w:id="39" w:name="_Toc511813729"/>
      <w:bookmarkStart w:id="40" w:name="_Toc511813744"/>
      <w:bookmarkStart w:id="41" w:name="_Toc511813825"/>
      <w:bookmarkStart w:id="42" w:name="_Toc511813919"/>
      <w:bookmarkStart w:id="43" w:name="_Toc511814005"/>
      <w:bookmarkStart w:id="44" w:name="_Toc511816534"/>
      <w:bookmarkStart w:id="45" w:name="_Toc511816549"/>
      <w:r w:rsidRPr="00C3140C">
        <w:t>Category and component expenses</w:t>
      </w:r>
      <w:bookmarkEnd w:id="38"/>
      <w:bookmarkEnd w:id="39"/>
      <w:bookmarkEnd w:id="40"/>
      <w:bookmarkEnd w:id="41"/>
      <w:bookmarkEnd w:id="42"/>
      <w:bookmarkEnd w:id="43"/>
      <w:bookmarkEnd w:id="44"/>
      <w:bookmarkEnd w:id="45"/>
    </w:p>
    <w:p w:rsidR="0010505B" w:rsidRPr="00741FF2" w:rsidRDefault="0050644D" w:rsidP="005E09FF">
      <w:pPr>
        <w:pStyle w:val="CGCNumberedPara"/>
      </w:pPr>
      <w:r>
        <w:t xml:space="preserve">The assessment of </w:t>
      </w:r>
      <w:r w:rsidR="00085AAA">
        <w:t xml:space="preserve">welfare </w:t>
      </w:r>
      <w:r w:rsidR="00BA4C4B">
        <w:t xml:space="preserve">expenses </w:t>
      </w:r>
      <w:r w:rsidR="003F711E">
        <w:t>is</w:t>
      </w:r>
      <w:r>
        <w:t xml:space="preserve"> undertaken in five separate components</w:t>
      </w:r>
      <w:r w:rsidR="005E09FF">
        <w:t xml:space="preserve"> — </w:t>
      </w:r>
      <w:r w:rsidR="005E09FF" w:rsidRPr="00741FF2">
        <w:t>family and child services</w:t>
      </w:r>
      <w:r>
        <w:t xml:space="preserve">, </w:t>
      </w:r>
      <w:r w:rsidR="005E09FF" w:rsidRPr="00741FF2">
        <w:t>aged care services</w:t>
      </w:r>
      <w:r w:rsidR="005E09FF">
        <w:t xml:space="preserve">, </w:t>
      </w:r>
      <w:r w:rsidR="005E09FF" w:rsidRPr="005E09FF">
        <w:t>services for people with a disability</w:t>
      </w:r>
      <w:r w:rsidR="005E09FF">
        <w:t>,</w:t>
      </w:r>
      <w:r>
        <w:t xml:space="preserve"> concess</w:t>
      </w:r>
      <w:r w:rsidR="00BB56DB">
        <w:t>ions and</w:t>
      </w:r>
      <w:r w:rsidR="00506D0D">
        <w:t xml:space="preserve"> a residual,</w:t>
      </w:r>
      <w:r w:rsidR="00BB56DB">
        <w:t xml:space="preserve"> other general welfare.</w:t>
      </w:r>
      <w:r w:rsidR="006A1B5E">
        <w:t xml:space="preserve"> </w:t>
      </w:r>
      <w:r>
        <w:t xml:space="preserve">The component expenses </w:t>
      </w:r>
      <w:r w:rsidR="00BA4C4B">
        <w:t>for 201</w:t>
      </w:r>
      <w:r w:rsidR="00BB56DB">
        <w:t>6</w:t>
      </w:r>
      <w:r w:rsidR="00506D0D">
        <w:noBreakHyphen/>
      </w:r>
      <w:r w:rsidR="00BA4C4B">
        <w:t>1</w:t>
      </w:r>
      <w:r w:rsidR="00BB56DB">
        <w:t>7</w:t>
      </w:r>
      <w:r w:rsidR="00BA4C4B">
        <w:t xml:space="preserve"> </w:t>
      </w:r>
      <w:r>
        <w:t xml:space="preserve">are shown in </w:t>
      </w:r>
      <w:r w:rsidR="0010505B" w:rsidRPr="00741FF2">
        <w:fldChar w:fldCharType="begin"/>
      </w:r>
      <w:r w:rsidR="0010505B" w:rsidRPr="00741FF2">
        <w:instrText xml:space="preserve"> REF _Ref322431260 \h </w:instrText>
      </w:r>
      <w:r w:rsidR="0010505B">
        <w:instrText xml:space="preserve"> \* MERGEFORMAT </w:instrText>
      </w:r>
      <w:r w:rsidR="0010505B" w:rsidRPr="00741FF2">
        <w:fldChar w:fldCharType="separate"/>
      </w:r>
      <w:r w:rsidR="00835CFE" w:rsidRPr="00741FF2">
        <w:t xml:space="preserve">Table </w:t>
      </w:r>
      <w:r w:rsidR="00835CFE">
        <w:t>1</w:t>
      </w:r>
      <w:r w:rsidR="0010505B" w:rsidRPr="00741FF2">
        <w:fldChar w:fldCharType="end"/>
      </w:r>
      <w:r w:rsidR="0010505B" w:rsidRPr="00741FF2">
        <w:t xml:space="preserve">. </w:t>
      </w:r>
      <w:r w:rsidR="00085AAA">
        <w:t>Separate a</w:t>
      </w:r>
      <w:r>
        <w:t>ssessments are also made for investment and depreciation expenses.</w:t>
      </w:r>
    </w:p>
    <w:p w:rsidR="0010505B" w:rsidRPr="00741FF2" w:rsidRDefault="0010505B" w:rsidP="0010505B">
      <w:pPr>
        <w:pStyle w:val="CGCTableHeading"/>
      </w:pPr>
      <w:bookmarkStart w:id="46" w:name="_Ref322431260"/>
      <w:r w:rsidRPr="00741FF2">
        <w:t xml:space="preserve">Table </w:t>
      </w:r>
      <w:r w:rsidR="00101636">
        <w:fldChar w:fldCharType="begin"/>
      </w:r>
      <w:r w:rsidR="00101636">
        <w:instrText xml:space="preserve"> SEQ Table \r 1 \* ARABIC </w:instrText>
      </w:r>
      <w:r w:rsidR="00101636">
        <w:fldChar w:fldCharType="separate"/>
      </w:r>
      <w:r w:rsidR="00835CFE">
        <w:rPr>
          <w:noProof/>
        </w:rPr>
        <w:t>1</w:t>
      </w:r>
      <w:r w:rsidR="00101636">
        <w:rPr>
          <w:noProof/>
        </w:rPr>
        <w:fldChar w:fldCharType="end"/>
      </w:r>
      <w:bookmarkEnd w:id="46"/>
      <w:r w:rsidRPr="00741FF2">
        <w:tab/>
        <w:t>Category expenses by function, 201</w:t>
      </w:r>
      <w:r w:rsidR="00BB56DB">
        <w:t>6</w:t>
      </w:r>
      <w:r w:rsidRPr="00741FF2">
        <w:t>-1</w:t>
      </w:r>
      <w:r w:rsidR="00BB56DB">
        <w:t>7</w:t>
      </w:r>
    </w:p>
    <w:tbl>
      <w:tblPr>
        <w:tblW w:w="5000" w:type="pct"/>
        <w:tblCellMar>
          <w:left w:w="85" w:type="dxa"/>
          <w:right w:w="85" w:type="dxa"/>
        </w:tblCellMar>
        <w:tblLook w:val="0000" w:firstRow="0" w:lastRow="0" w:firstColumn="0" w:lastColumn="0" w:noHBand="0" w:noVBand="0"/>
      </w:tblPr>
      <w:tblGrid>
        <w:gridCol w:w="4095"/>
        <w:gridCol w:w="1945"/>
        <w:gridCol w:w="3081"/>
      </w:tblGrid>
      <w:tr w:rsidR="0010505B" w:rsidRPr="00741FF2" w:rsidTr="00D50174">
        <w:tc>
          <w:tcPr>
            <w:tcW w:w="2245" w:type="pct"/>
            <w:tcBorders>
              <w:top w:val="single" w:sz="6" w:space="0" w:color="auto"/>
              <w:bottom w:val="single" w:sz="6" w:space="0" w:color="auto"/>
            </w:tcBorders>
            <w:vAlign w:val="bottom"/>
          </w:tcPr>
          <w:p w:rsidR="0010505B" w:rsidRPr="00741FF2" w:rsidRDefault="0010505B" w:rsidP="00D50174">
            <w:pPr>
              <w:pStyle w:val="TableColHeadings"/>
            </w:pPr>
          </w:p>
        </w:tc>
        <w:tc>
          <w:tcPr>
            <w:tcW w:w="1066" w:type="pct"/>
            <w:tcBorders>
              <w:top w:val="single" w:sz="6" w:space="0" w:color="auto"/>
              <w:bottom w:val="single" w:sz="6" w:space="0" w:color="auto"/>
            </w:tcBorders>
            <w:vAlign w:val="bottom"/>
          </w:tcPr>
          <w:p w:rsidR="0010505B" w:rsidRPr="00741FF2" w:rsidRDefault="0010505B" w:rsidP="00D50174">
            <w:pPr>
              <w:pStyle w:val="TableColHeadings"/>
            </w:pPr>
            <w:r w:rsidRPr="00741FF2">
              <w:t>Amount</w:t>
            </w:r>
          </w:p>
        </w:tc>
        <w:tc>
          <w:tcPr>
            <w:tcW w:w="1689" w:type="pct"/>
            <w:tcBorders>
              <w:top w:val="single" w:sz="6" w:space="0" w:color="auto"/>
              <w:bottom w:val="single" w:sz="6" w:space="0" w:color="auto"/>
            </w:tcBorders>
            <w:vAlign w:val="bottom"/>
          </w:tcPr>
          <w:p w:rsidR="0010505B" w:rsidRPr="00741FF2" w:rsidRDefault="0010505B" w:rsidP="00D50174">
            <w:pPr>
              <w:pStyle w:val="TableColHeadings"/>
            </w:pPr>
            <w:r w:rsidRPr="00741FF2">
              <w:t>Proportion of total expenses</w:t>
            </w:r>
          </w:p>
        </w:tc>
      </w:tr>
      <w:tr w:rsidR="0010505B" w:rsidRPr="00741FF2" w:rsidTr="00D50174">
        <w:tc>
          <w:tcPr>
            <w:tcW w:w="2245" w:type="pct"/>
            <w:vAlign w:val="bottom"/>
          </w:tcPr>
          <w:p w:rsidR="0010505B" w:rsidRPr="00741FF2" w:rsidRDefault="0010505B" w:rsidP="00D50174">
            <w:pPr>
              <w:pStyle w:val="TableRowNormal"/>
              <w:spacing w:before="0" w:after="0" w:line="240" w:lineRule="auto"/>
              <w:ind w:left="0" w:firstLine="0"/>
            </w:pPr>
          </w:p>
        </w:tc>
        <w:tc>
          <w:tcPr>
            <w:tcW w:w="1066" w:type="pct"/>
            <w:vAlign w:val="bottom"/>
          </w:tcPr>
          <w:p w:rsidR="0010505B" w:rsidRPr="00741FF2" w:rsidRDefault="0010505B" w:rsidP="00D50174">
            <w:pPr>
              <w:pStyle w:val="TableRowNormal"/>
              <w:spacing w:before="0" w:after="0" w:line="240" w:lineRule="auto"/>
              <w:ind w:left="0" w:firstLine="0"/>
            </w:pPr>
            <w:r w:rsidRPr="00741FF2">
              <w:t>$m</w:t>
            </w:r>
          </w:p>
        </w:tc>
        <w:tc>
          <w:tcPr>
            <w:tcW w:w="1689" w:type="pct"/>
            <w:vAlign w:val="bottom"/>
          </w:tcPr>
          <w:p w:rsidR="0010505B" w:rsidRPr="00741FF2" w:rsidRDefault="0010505B" w:rsidP="00D50174">
            <w:pPr>
              <w:pStyle w:val="TableRowNormal"/>
              <w:spacing w:before="0" w:after="0" w:line="240" w:lineRule="auto"/>
              <w:ind w:left="0" w:firstLine="0"/>
            </w:pPr>
            <w:r w:rsidRPr="00741FF2">
              <w:t>%</w:t>
            </w:r>
          </w:p>
        </w:tc>
      </w:tr>
      <w:tr w:rsidR="00A52E27" w:rsidRPr="00741FF2" w:rsidTr="00D50174">
        <w:tc>
          <w:tcPr>
            <w:tcW w:w="2245" w:type="pct"/>
            <w:vAlign w:val="bottom"/>
          </w:tcPr>
          <w:p w:rsidR="00A52E27" w:rsidRPr="00741FF2" w:rsidRDefault="00A52E27" w:rsidP="00507031">
            <w:pPr>
              <w:keepNext/>
              <w:spacing w:before="60" w:after="60" w:line="240" w:lineRule="auto"/>
              <w:rPr>
                <w:rFonts w:ascii="Calibri" w:hAnsi="Calibri" w:cs="Calibri"/>
                <w:sz w:val="20"/>
                <w:szCs w:val="20"/>
              </w:rPr>
            </w:pPr>
            <w:r w:rsidRPr="00741FF2">
              <w:rPr>
                <w:rFonts w:ascii="Calibri" w:hAnsi="Calibri" w:cs="Calibri"/>
                <w:sz w:val="20"/>
                <w:szCs w:val="20"/>
              </w:rPr>
              <w:t>Family and child services</w:t>
            </w:r>
          </w:p>
        </w:tc>
        <w:tc>
          <w:tcPr>
            <w:tcW w:w="1066"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5 725</w:t>
            </w:r>
          </w:p>
        </w:tc>
        <w:tc>
          <w:tcPr>
            <w:tcW w:w="1689"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33</w:t>
            </w:r>
          </w:p>
        </w:tc>
      </w:tr>
      <w:tr w:rsidR="00A52E27" w:rsidRPr="00741FF2" w:rsidTr="00D50174">
        <w:tc>
          <w:tcPr>
            <w:tcW w:w="2245" w:type="pct"/>
            <w:vAlign w:val="bottom"/>
          </w:tcPr>
          <w:p w:rsidR="00A52E27" w:rsidRPr="00741FF2" w:rsidRDefault="00A52E27" w:rsidP="00507031">
            <w:pPr>
              <w:keepNext/>
              <w:spacing w:before="60" w:after="60" w:line="240" w:lineRule="auto"/>
              <w:rPr>
                <w:rFonts w:ascii="Calibri" w:hAnsi="Calibri" w:cs="Calibri"/>
                <w:sz w:val="20"/>
                <w:szCs w:val="20"/>
              </w:rPr>
            </w:pPr>
            <w:r w:rsidRPr="00741FF2">
              <w:rPr>
                <w:rFonts w:ascii="Calibri" w:hAnsi="Calibri" w:cs="Calibri"/>
                <w:sz w:val="20"/>
                <w:szCs w:val="20"/>
              </w:rPr>
              <w:t>Aged care services</w:t>
            </w:r>
          </w:p>
        </w:tc>
        <w:tc>
          <w:tcPr>
            <w:tcW w:w="1066"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 xml:space="preserve"> 884</w:t>
            </w:r>
          </w:p>
        </w:tc>
        <w:tc>
          <w:tcPr>
            <w:tcW w:w="1689"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5</w:t>
            </w:r>
          </w:p>
        </w:tc>
      </w:tr>
      <w:tr w:rsidR="00A52E27" w:rsidRPr="00741FF2" w:rsidTr="00D50174">
        <w:tc>
          <w:tcPr>
            <w:tcW w:w="2245" w:type="pct"/>
            <w:vAlign w:val="bottom"/>
          </w:tcPr>
          <w:p w:rsidR="00A52E27" w:rsidRPr="00741FF2" w:rsidRDefault="00A52E27" w:rsidP="00507031">
            <w:pPr>
              <w:keepNext/>
              <w:spacing w:before="60" w:after="60" w:line="240" w:lineRule="auto"/>
              <w:rPr>
                <w:rFonts w:ascii="Calibri" w:hAnsi="Calibri" w:cs="Calibri"/>
                <w:sz w:val="20"/>
                <w:szCs w:val="20"/>
              </w:rPr>
            </w:pPr>
            <w:r w:rsidRPr="00741FF2">
              <w:rPr>
                <w:rFonts w:ascii="Calibri" w:hAnsi="Calibri" w:cs="Calibri"/>
                <w:sz w:val="20"/>
                <w:szCs w:val="20"/>
              </w:rPr>
              <w:t>Disability services</w:t>
            </w:r>
          </w:p>
        </w:tc>
        <w:tc>
          <w:tcPr>
            <w:tcW w:w="1066"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8 208</w:t>
            </w:r>
          </w:p>
        </w:tc>
        <w:tc>
          <w:tcPr>
            <w:tcW w:w="1689"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48</w:t>
            </w:r>
          </w:p>
        </w:tc>
      </w:tr>
      <w:tr w:rsidR="00A52E27" w:rsidRPr="00741FF2" w:rsidTr="00D50174">
        <w:tc>
          <w:tcPr>
            <w:tcW w:w="2245" w:type="pct"/>
            <w:vAlign w:val="bottom"/>
          </w:tcPr>
          <w:p w:rsidR="00A52E27" w:rsidRPr="00741FF2" w:rsidRDefault="00A52E27" w:rsidP="00507031">
            <w:pPr>
              <w:keepNext/>
              <w:spacing w:before="60" w:after="60" w:line="240" w:lineRule="auto"/>
              <w:rPr>
                <w:rFonts w:ascii="Calibri" w:hAnsi="Calibri" w:cs="Calibri"/>
                <w:sz w:val="20"/>
                <w:szCs w:val="20"/>
              </w:rPr>
            </w:pPr>
            <w:r w:rsidRPr="00741FF2">
              <w:rPr>
                <w:rFonts w:ascii="Calibri" w:hAnsi="Calibri" w:cs="Calibri"/>
                <w:sz w:val="20"/>
                <w:szCs w:val="20"/>
              </w:rPr>
              <w:t>General welfare</w:t>
            </w:r>
          </w:p>
        </w:tc>
        <w:tc>
          <w:tcPr>
            <w:tcW w:w="1066" w:type="pct"/>
            <w:vAlign w:val="bottom"/>
          </w:tcPr>
          <w:p w:rsidR="00A52E27" w:rsidRPr="00252021" w:rsidRDefault="00A52E27" w:rsidP="00507031">
            <w:pPr>
              <w:spacing w:before="60" w:after="60" w:line="240" w:lineRule="auto"/>
              <w:jc w:val="right"/>
              <w:rPr>
                <w:rFonts w:ascii="Calibri" w:hAnsi="Calibri" w:cs="Arial"/>
                <w:sz w:val="20"/>
                <w:szCs w:val="20"/>
              </w:rPr>
            </w:pPr>
          </w:p>
        </w:tc>
        <w:tc>
          <w:tcPr>
            <w:tcW w:w="1689" w:type="pct"/>
            <w:vAlign w:val="bottom"/>
          </w:tcPr>
          <w:p w:rsidR="00A52E27" w:rsidRPr="00252021" w:rsidRDefault="00A52E27" w:rsidP="00507031">
            <w:pPr>
              <w:spacing w:before="60" w:after="60" w:line="240" w:lineRule="auto"/>
              <w:jc w:val="right"/>
              <w:rPr>
                <w:rFonts w:ascii="Calibri" w:hAnsi="Calibri" w:cs="Arial"/>
                <w:sz w:val="20"/>
                <w:szCs w:val="20"/>
              </w:rPr>
            </w:pPr>
          </w:p>
        </w:tc>
      </w:tr>
      <w:tr w:rsidR="00A52E27" w:rsidRPr="00741FF2" w:rsidTr="00252021">
        <w:tc>
          <w:tcPr>
            <w:tcW w:w="2245" w:type="pct"/>
            <w:vAlign w:val="bottom"/>
          </w:tcPr>
          <w:p w:rsidR="00A52E27" w:rsidRPr="00741FF2" w:rsidRDefault="00A52E27" w:rsidP="00507031">
            <w:pPr>
              <w:keepNext/>
              <w:spacing w:before="60" w:after="60" w:line="240" w:lineRule="auto"/>
              <w:ind w:left="113"/>
              <w:rPr>
                <w:rFonts w:ascii="Calibri" w:hAnsi="Calibri" w:cs="Calibri"/>
                <w:sz w:val="20"/>
                <w:szCs w:val="20"/>
              </w:rPr>
            </w:pPr>
            <w:r>
              <w:rPr>
                <w:rFonts w:ascii="Calibri" w:hAnsi="Calibri" w:cs="Calibri"/>
                <w:sz w:val="20"/>
                <w:szCs w:val="20"/>
              </w:rPr>
              <w:t>Concessions</w:t>
            </w:r>
          </w:p>
        </w:tc>
        <w:tc>
          <w:tcPr>
            <w:tcW w:w="1066"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1 942</w:t>
            </w:r>
          </w:p>
        </w:tc>
        <w:tc>
          <w:tcPr>
            <w:tcW w:w="1689" w:type="pct"/>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11</w:t>
            </w:r>
          </w:p>
        </w:tc>
      </w:tr>
      <w:tr w:rsidR="00A52E27" w:rsidRPr="00741FF2" w:rsidTr="00252021">
        <w:tc>
          <w:tcPr>
            <w:tcW w:w="2245" w:type="pct"/>
            <w:vAlign w:val="bottom"/>
          </w:tcPr>
          <w:p w:rsidR="00A52E27" w:rsidRDefault="00A52E27" w:rsidP="00507031">
            <w:pPr>
              <w:keepNext/>
              <w:spacing w:before="60" w:after="60" w:line="240" w:lineRule="auto"/>
              <w:ind w:left="113"/>
              <w:rPr>
                <w:rFonts w:ascii="Calibri" w:hAnsi="Calibri" w:cs="Calibri"/>
                <w:sz w:val="20"/>
                <w:szCs w:val="20"/>
              </w:rPr>
            </w:pPr>
            <w:r>
              <w:rPr>
                <w:rFonts w:ascii="Calibri" w:hAnsi="Calibri" w:cs="Calibri"/>
                <w:sz w:val="20"/>
                <w:szCs w:val="20"/>
              </w:rPr>
              <w:t>Other general welfare</w:t>
            </w:r>
          </w:p>
        </w:tc>
        <w:tc>
          <w:tcPr>
            <w:tcW w:w="1066" w:type="pct"/>
            <w:tcBorders>
              <w:bottom w:val="single" w:sz="4" w:space="0" w:color="auto"/>
            </w:tcBorders>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 xml:space="preserve"> 506</w:t>
            </w:r>
          </w:p>
        </w:tc>
        <w:tc>
          <w:tcPr>
            <w:tcW w:w="1689" w:type="pct"/>
            <w:tcBorders>
              <w:bottom w:val="single" w:sz="4" w:space="0" w:color="auto"/>
            </w:tcBorders>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3</w:t>
            </w:r>
          </w:p>
        </w:tc>
      </w:tr>
      <w:tr w:rsidR="00A52E27" w:rsidRPr="00741FF2" w:rsidTr="00252021">
        <w:tc>
          <w:tcPr>
            <w:tcW w:w="2245" w:type="pct"/>
            <w:tcBorders>
              <w:bottom w:val="single" w:sz="4" w:space="0" w:color="auto"/>
            </w:tcBorders>
            <w:vAlign w:val="bottom"/>
          </w:tcPr>
          <w:p w:rsidR="00A52E27" w:rsidRPr="00741FF2" w:rsidRDefault="00A52E27" w:rsidP="00507031">
            <w:pPr>
              <w:keepNext/>
              <w:spacing w:before="60" w:after="60" w:line="240" w:lineRule="auto"/>
              <w:rPr>
                <w:rFonts w:ascii="Calibri" w:hAnsi="Calibri" w:cs="Calibri"/>
                <w:sz w:val="20"/>
                <w:szCs w:val="20"/>
              </w:rPr>
            </w:pPr>
            <w:r w:rsidRPr="00741FF2">
              <w:rPr>
                <w:rFonts w:ascii="Calibri" w:hAnsi="Calibri" w:cs="Calibri"/>
                <w:sz w:val="20"/>
                <w:szCs w:val="20"/>
              </w:rPr>
              <w:t>Total</w:t>
            </w:r>
          </w:p>
        </w:tc>
        <w:tc>
          <w:tcPr>
            <w:tcW w:w="1066" w:type="pct"/>
            <w:tcBorders>
              <w:top w:val="single" w:sz="4" w:space="0" w:color="auto"/>
              <w:bottom w:val="single" w:sz="4" w:space="0" w:color="auto"/>
            </w:tcBorders>
          </w:tcPr>
          <w:p w:rsidR="00A52E27" w:rsidRPr="00507031" w:rsidRDefault="00507031" w:rsidP="00507031">
            <w:pPr>
              <w:spacing w:before="60" w:after="60" w:line="240" w:lineRule="auto"/>
              <w:jc w:val="right"/>
              <w:rPr>
                <w:rFonts w:ascii="Calibri" w:hAnsi="Calibri" w:cs="Arial"/>
                <w:sz w:val="20"/>
                <w:szCs w:val="20"/>
              </w:rPr>
            </w:pPr>
            <w:r>
              <w:rPr>
                <w:rFonts w:ascii="Calibri" w:hAnsi="Calibri" w:cs="Arial"/>
                <w:sz w:val="20"/>
                <w:szCs w:val="20"/>
              </w:rPr>
              <w:t>17 266</w:t>
            </w:r>
          </w:p>
        </w:tc>
        <w:tc>
          <w:tcPr>
            <w:tcW w:w="1689" w:type="pct"/>
            <w:tcBorders>
              <w:top w:val="single" w:sz="4" w:space="0" w:color="auto"/>
              <w:bottom w:val="single" w:sz="4" w:space="0" w:color="auto"/>
            </w:tcBorders>
            <w:vAlign w:val="bottom"/>
          </w:tcPr>
          <w:p w:rsidR="00A52E27" w:rsidRPr="00252021" w:rsidRDefault="00A52E27" w:rsidP="00507031">
            <w:pPr>
              <w:spacing w:before="60" w:after="60" w:line="240" w:lineRule="auto"/>
              <w:jc w:val="right"/>
              <w:rPr>
                <w:rFonts w:ascii="Calibri" w:hAnsi="Calibri" w:cs="Arial"/>
                <w:sz w:val="20"/>
                <w:szCs w:val="20"/>
              </w:rPr>
            </w:pPr>
            <w:r w:rsidRPr="00252021">
              <w:rPr>
                <w:rFonts w:ascii="Calibri" w:hAnsi="Calibri" w:cs="Arial"/>
                <w:sz w:val="20"/>
                <w:szCs w:val="20"/>
              </w:rPr>
              <w:t>100</w:t>
            </w:r>
          </w:p>
        </w:tc>
      </w:tr>
    </w:tbl>
    <w:p w:rsidR="00C85E80" w:rsidRPr="00C85E80" w:rsidRDefault="0010505B" w:rsidP="00C85E80">
      <w:pPr>
        <w:pStyle w:val="CGCTableFootnote"/>
      </w:pPr>
      <w:r w:rsidRPr="00741FF2">
        <w:t>Source:</w:t>
      </w:r>
      <w:r w:rsidRPr="00741FF2">
        <w:tab/>
      </w:r>
      <w:r w:rsidR="00507031">
        <w:t>Commission estimates</w:t>
      </w:r>
      <w:r w:rsidR="00507031" w:rsidRPr="00B7517F">
        <w:t xml:space="preserve"> based on State</w:t>
      </w:r>
      <w:r w:rsidR="00507031">
        <w:noBreakHyphen/>
      </w:r>
      <w:r w:rsidR="00507031" w:rsidRPr="00B7517F">
        <w:t>provided data.</w:t>
      </w:r>
      <w:r w:rsidR="00507031">
        <w:t xml:space="preserve"> A</w:t>
      </w:r>
      <w:r w:rsidR="00A843A5">
        <w:t xml:space="preserve">djustments </w:t>
      </w:r>
      <w:r w:rsidR="00507031">
        <w:t xml:space="preserve">are made </w:t>
      </w:r>
      <w:r w:rsidR="00A843A5">
        <w:t>to take account of e</w:t>
      </w:r>
      <w:r w:rsidR="00A843A5" w:rsidRPr="00A843A5">
        <w:t xml:space="preserve">xpenses funded by </w:t>
      </w:r>
      <w:r w:rsidR="00507E53">
        <w:t>‘</w:t>
      </w:r>
      <w:r w:rsidR="00CD7DF4">
        <w:t>n</w:t>
      </w:r>
      <w:r w:rsidR="00A843A5" w:rsidRPr="00A843A5">
        <w:t xml:space="preserve">o </w:t>
      </w:r>
      <w:r w:rsidR="00CD7DF4">
        <w:t>i</w:t>
      </w:r>
      <w:r w:rsidR="00A843A5" w:rsidRPr="00A843A5">
        <w:t>mpact</w:t>
      </w:r>
      <w:r w:rsidR="00507E53">
        <w:t>’</w:t>
      </w:r>
      <w:r w:rsidR="00A843A5" w:rsidRPr="00A843A5">
        <w:t xml:space="preserve"> Commonwealth payments</w:t>
      </w:r>
      <w:r w:rsidR="00A843A5">
        <w:t xml:space="preserve"> and concessions reassign</w:t>
      </w:r>
      <w:r w:rsidR="000B6426">
        <w:t>ed</w:t>
      </w:r>
      <w:r w:rsidR="00A843A5">
        <w:t xml:space="preserve"> between components and categories</w:t>
      </w:r>
      <w:r w:rsidRPr="00741FF2">
        <w:t>.</w:t>
      </w:r>
      <w:r w:rsidR="00C85E80">
        <w:t xml:space="preserve"> </w:t>
      </w:r>
    </w:p>
    <w:p w:rsidR="00C3140C" w:rsidRDefault="00C3140C" w:rsidP="00C3140C">
      <w:pPr>
        <w:pStyle w:val="Heading4"/>
      </w:pPr>
      <w:bookmarkStart w:id="47" w:name="_Toc511036005"/>
      <w:bookmarkStart w:id="48" w:name="_Toc511813730"/>
      <w:bookmarkStart w:id="49" w:name="_Toc511813745"/>
      <w:bookmarkStart w:id="50" w:name="_Toc511813826"/>
      <w:bookmarkStart w:id="51" w:name="_Toc511813920"/>
      <w:bookmarkStart w:id="52" w:name="_Toc511814006"/>
      <w:bookmarkStart w:id="53" w:name="_Toc511816535"/>
      <w:bookmarkStart w:id="54" w:name="_Toc511816550"/>
      <w:r>
        <w:lastRenderedPageBreak/>
        <w:t>Data sources and assessment methods</w:t>
      </w:r>
      <w:bookmarkEnd w:id="47"/>
      <w:bookmarkEnd w:id="48"/>
      <w:bookmarkEnd w:id="49"/>
      <w:bookmarkEnd w:id="50"/>
      <w:bookmarkEnd w:id="51"/>
      <w:bookmarkEnd w:id="52"/>
      <w:bookmarkEnd w:id="53"/>
      <w:bookmarkEnd w:id="54"/>
    </w:p>
    <w:p w:rsidR="00C3140C" w:rsidRPr="00C3140C" w:rsidRDefault="00C3140C" w:rsidP="009D249D">
      <w:pPr>
        <w:pStyle w:val="Heading5"/>
      </w:pPr>
      <w:r>
        <w:t>Family and child services</w:t>
      </w:r>
    </w:p>
    <w:p w:rsidR="00AC59F4" w:rsidRPr="005E09FF" w:rsidRDefault="00AC59F4" w:rsidP="00AC59F4">
      <w:pPr>
        <w:pStyle w:val="CGCNumberedPara"/>
        <w:numPr>
          <w:ilvl w:val="1"/>
          <w:numId w:val="3"/>
        </w:numPr>
      </w:pPr>
      <w:r w:rsidRPr="005E09FF">
        <w:t>Family and child expenses are a significant item of State expense, accounting for 3</w:t>
      </w:r>
      <w:r w:rsidR="00BB56DB" w:rsidRPr="005E09FF">
        <w:t>3</w:t>
      </w:r>
      <w:r w:rsidRPr="005E09FF">
        <w:t>% of total category expenses</w:t>
      </w:r>
      <w:r w:rsidR="001D7A68" w:rsidRPr="005E09FF">
        <w:t xml:space="preserve">. Estimated family and child expenses by State are shown in </w:t>
      </w:r>
      <w:r w:rsidRPr="005E09FF">
        <w:fldChar w:fldCharType="begin"/>
      </w:r>
      <w:r w:rsidRPr="005E09FF">
        <w:instrText xml:space="preserve"> REF _Ref476733139 \h </w:instrText>
      </w:r>
      <w:r w:rsidR="001D7A68" w:rsidRPr="005E09FF">
        <w:instrText xml:space="preserve"> \* MERGEFORMAT </w:instrText>
      </w:r>
      <w:r w:rsidRPr="005E09FF">
        <w:fldChar w:fldCharType="separate"/>
      </w:r>
      <w:r w:rsidR="00835CFE" w:rsidRPr="005E09FF">
        <w:t xml:space="preserve">Table </w:t>
      </w:r>
      <w:r w:rsidR="00835CFE" w:rsidRPr="005E09FF">
        <w:rPr>
          <w:noProof/>
        </w:rPr>
        <w:t>2</w:t>
      </w:r>
      <w:r w:rsidRPr="005E09FF">
        <w:fldChar w:fldCharType="end"/>
      </w:r>
      <w:r w:rsidRPr="005E09FF">
        <w:t xml:space="preserve">. </w:t>
      </w:r>
    </w:p>
    <w:p w:rsidR="00AC59F4" w:rsidRDefault="00AC59F4" w:rsidP="00AC59F4">
      <w:pPr>
        <w:pStyle w:val="CGCTableHeading"/>
      </w:pPr>
      <w:bookmarkStart w:id="55" w:name="_Ref476733139"/>
      <w:r>
        <w:t xml:space="preserve">Table </w:t>
      </w:r>
      <w:r w:rsidR="00101636">
        <w:fldChar w:fldCharType="begin"/>
      </w:r>
      <w:r w:rsidR="00101636">
        <w:instrText xml:space="preserve"> SEQ Table \* ARABIC </w:instrText>
      </w:r>
      <w:r w:rsidR="00101636">
        <w:fldChar w:fldCharType="separate"/>
      </w:r>
      <w:r w:rsidR="00835CFE">
        <w:rPr>
          <w:noProof/>
        </w:rPr>
        <w:t>2</w:t>
      </w:r>
      <w:r w:rsidR="00101636">
        <w:rPr>
          <w:noProof/>
        </w:rPr>
        <w:fldChar w:fldCharType="end"/>
      </w:r>
      <w:bookmarkEnd w:id="55"/>
      <w:r>
        <w:tab/>
        <w:t>Estimated family and child expenses, 201</w:t>
      </w:r>
      <w:r w:rsidR="00A52E27">
        <w:t>6</w:t>
      </w:r>
      <w:r>
        <w:noBreakHyphen/>
        <w:t>1</w:t>
      </w:r>
      <w:r w:rsidR="00A52E27">
        <w:t>7</w:t>
      </w:r>
    </w:p>
    <w:tbl>
      <w:tblPr>
        <w:tblW w:w="5000" w:type="pct"/>
        <w:tblCellMar>
          <w:left w:w="85" w:type="dxa"/>
          <w:right w:w="85" w:type="dxa"/>
        </w:tblCellMar>
        <w:tblLook w:val="0000" w:firstRow="0" w:lastRow="0" w:firstColumn="0" w:lastColumn="0" w:noHBand="0" w:noVBand="0"/>
      </w:tblPr>
      <w:tblGrid>
        <w:gridCol w:w="1015"/>
        <w:gridCol w:w="1015"/>
        <w:gridCol w:w="1014"/>
        <w:gridCol w:w="1014"/>
        <w:gridCol w:w="1014"/>
        <w:gridCol w:w="1014"/>
        <w:gridCol w:w="1014"/>
        <w:gridCol w:w="1014"/>
        <w:gridCol w:w="1007"/>
      </w:tblGrid>
      <w:tr w:rsidR="00AC59F4" w:rsidRPr="005B4B04" w:rsidTr="002132C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NSW</w:t>
            </w:r>
          </w:p>
        </w:t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Vic</w:t>
            </w:r>
          </w:p>
        </w:t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Qld</w:t>
            </w:r>
          </w:p>
        </w:t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WA</w:t>
            </w:r>
          </w:p>
        </w:t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SA</w:t>
            </w:r>
          </w:p>
        </w:t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Tas</w:t>
            </w:r>
          </w:p>
        </w:t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ACT</w:t>
            </w:r>
          </w:p>
        </w:tc>
        <w:tc>
          <w:tcPr>
            <w:tcW w:w="556" w:type="pct"/>
            <w:tcBorders>
              <w:top w:val="single" w:sz="6" w:space="0" w:color="auto"/>
              <w:bottom w:val="single" w:sz="6" w:space="0" w:color="auto"/>
            </w:tcBorders>
            <w:vAlign w:val="bottom"/>
          </w:tcPr>
          <w:p w:rsidR="00AC59F4" w:rsidRPr="005B4B04" w:rsidRDefault="00AC59F4" w:rsidP="002132CC">
            <w:pPr>
              <w:pStyle w:val="TableColHeadings"/>
              <w:rPr>
                <w:rFonts w:cstheme="minorHAnsi"/>
              </w:rPr>
            </w:pPr>
            <w:r>
              <w:rPr>
                <w:rFonts w:cstheme="minorHAnsi"/>
              </w:rPr>
              <w:t>NT</w:t>
            </w:r>
          </w:p>
        </w:tc>
        <w:tc>
          <w:tcPr>
            <w:tcW w:w="552" w:type="pct"/>
            <w:tcBorders>
              <w:top w:val="single" w:sz="6" w:space="0" w:color="auto"/>
              <w:bottom w:val="single" w:sz="6" w:space="0" w:color="auto"/>
            </w:tcBorders>
          </w:tcPr>
          <w:p w:rsidR="00AC59F4" w:rsidRDefault="006C645B" w:rsidP="002132CC">
            <w:pPr>
              <w:pStyle w:val="TableColHeadings"/>
              <w:rPr>
                <w:rFonts w:cstheme="minorHAnsi"/>
              </w:rPr>
            </w:pPr>
            <w:r>
              <w:rPr>
                <w:rFonts w:cstheme="minorHAnsi"/>
              </w:rPr>
              <w:t>Total</w:t>
            </w:r>
          </w:p>
        </w:tc>
      </w:tr>
      <w:tr w:rsidR="00AC59F4" w:rsidRPr="005B4B04" w:rsidTr="002132C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6" w:type="pct"/>
            <w:tcMar>
              <w:top w:w="0" w:type="dxa"/>
              <w:bottom w:w="0" w:type="dxa"/>
            </w:tcMar>
            <w:vAlign w:val="bottom"/>
          </w:tcPr>
          <w:p w:rsidR="00AC59F4" w:rsidRPr="005B4B04" w:rsidRDefault="00AC59F4" w:rsidP="002132CC">
            <w:pPr>
              <w:pStyle w:val="TableRowUnits"/>
              <w:rPr>
                <w:rFonts w:cstheme="minorHAnsi"/>
              </w:rPr>
            </w:pPr>
            <w:r>
              <w:rPr>
                <w:rFonts w:cstheme="minorHAnsi"/>
              </w:rPr>
              <w:t>$m</w:t>
            </w:r>
          </w:p>
        </w:tc>
        <w:tc>
          <w:tcPr>
            <w:tcW w:w="552" w:type="pct"/>
          </w:tcPr>
          <w:p w:rsidR="00AC59F4" w:rsidRDefault="00AC59F4" w:rsidP="002132CC">
            <w:pPr>
              <w:pStyle w:val="TableRowUnits"/>
              <w:rPr>
                <w:rFonts w:cstheme="minorHAnsi"/>
              </w:rPr>
            </w:pPr>
            <w:r>
              <w:rPr>
                <w:rFonts w:cstheme="minorHAnsi"/>
              </w:rPr>
              <w:t>$m</w:t>
            </w:r>
          </w:p>
        </w:tc>
      </w:tr>
      <w:tr w:rsidR="00A52E27" w:rsidRPr="005B4B04" w:rsidTr="002132C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1 922</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1 233</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1 056</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601</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468</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127</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98</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220</w:t>
            </w:r>
          </w:p>
        </w:tc>
        <w:tc>
          <w:tcPr>
            <w:tcW w:w="552"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5 725</w:t>
            </w:r>
          </w:p>
        </w:tc>
      </w:tr>
    </w:tbl>
    <w:p w:rsidR="00AC59F4" w:rsidRDefault="00AC59F4" w:rsidP="00AC59F4">
      <w:pPr>
        <w:pStyle w:val="CGCTableFootnote"/>
      </w:pPr>
      <w:r>
        <w:t>Source:</w:t>
      </w:r>
      <w:r>
        <w:tab/>
      </w:r>
      <w:r w:rsidR="00A52E27">
        <w:t>Commission estimates</w:t>
      </w:r>
      <w:r w:rsidR="00A52E27" w:rsidRPr="00B7517F">
        <w:t xml:space="preserve"> based on State</w:t>
      </w:r>
      <w:r w:rsidR="00A52E27">
        <w:noBreakHyphen/>
      </w:r>
      <w:r w:rsidR="00A52E27" w:rsidRPr="00B7517F">
        <w:t>provided data.</w:t>
      </w:r>
    </w:p>
    <w:p w:rsidR="00F85256" w:rsidRDefault="00DE6084" w:rsidP="00A804E5">
      <w:pPr>
        <w:pStyle w:val="CGCNumberedPara"/>
      </w:pPr>
      <w:r>
        <w:t xml:space="preserve">The assessment </w:t>
      </w:r>
      <w:r w:rsidR="00A804E5" w:rsidRPr="00A804E5">
        <w:t xml:space="preserve">is based on </w:t>
      </w:r>
      <w:r w:rsidR="00107A93">
        <w:t>Australian Institute of Health and Welfare (AIHW)</w:t>
      </w:r>
      <w:r w:rsidR="00A804E5" w:rsidRPr="00A804E5">
        <w:t xml:space="preserve"> child protection </w:t>
      </w:r>
      <w:r w:rsidR="00A804E5">
        <w:t>data</w:t>
      </w:r>
      <w:r w:rsidR="00107A93">
        <w:t xml:space="preserve">. It </w:t>
      </w:r>
      <w:r>
        <w:t>recognises</w:t>
      </w:r>
      <w:r w:rsidRPr="002D5ECA">
        <w:t xml:space="preserve"> the impact of </w:t>
      </w:r>
      <w:r w:rsidR="005F38AF">
        <w:t xml:space="preserve">differences in </w:t>
      </w:r>
      <w:r w:rsidRPr="002D5ECA">
        <w:t>age, Indigenous status,</w:t>
      </w:r>
      <w:r w:rsidR="00A92E31">
        <w:t xml:space="preserve"> </w:t>
      </w:r>
      <w:r w:rsidR="00A92E31" w:rsidRPr="005E09FF">
        <w:t>socio-economic status</w:t>
      </w:r>
      <w:r w:rsidRPr="005E09FF">
        <w:t xml:space="preserve"> </w:t>
      </w:r>
      <w:r w:rsidR="00A92E31" w:rsidRPr="005E09FF">
        <w:t>(</w:t>
      </w:r>
      <w:r w:rsidRPr="005E09FF">
        <w:t>SES</w:t>
      </w:r>
      <w:r w:rsidR="00A92E31" w:rsidRPr="005E09FF">
        <w:t>)</w:t>
      </w:r>
      <w:r w:rsidRPr="002D5ECA">
        <w:t xml:space="preserve"> and remoteness </w:t>
      </w:r>
      <w:r w:rsidR="005F38AF">
        <w:t>characteristics of State population</w:t>
      </w:r>
      <w:r w:rsidR="00B80F6C">
        <w:t>s</w:t>
      </w:r>
      <w:r w:rsidR="005F38AF">
        <w:t xml:space="preserve"> </w:t>
      </w:r>
      <w:r w:rsidRPr="002D5ECA">
        <w:t xml:space="preserve">on the cost of providing family and child services. </w:t>
      </w:r>
      <w:r w:rsidR="00F85256">
        <w:t>The assessment includes data from only seven States because New South Wales could not provide data by SES status and remoteness.</w:t>
      </w:r>
    </w:p>
    <w:p w:rsidR="00DE6084" w:rsidRDefault="00581F29" w:rsidP="00DE6084">
      <w:pPr>
        <w:pStyle w:val="CGCNumberedPara"/>
        <w:numPr>
          <w:ilvl w:val="1"/>
          <w:numId w:val="3"/>
        </w:numPr>
      </w:pPr>
      <w:r>
        <w:t xml:space="preserve">The Commission </w:t>
      </w:r>
      <w:r w:rsidR="00CE1E3C">
        <w:t>use</w:t>
      </w:r>
      <w:r>
        <w:t>s</w:t>
      </w:r>
      <w:r w:rsidR="00A804E5">
        <w:t xml:space="preserve"> Productivity Commission </w:t>
      </w:r>
      <w:r w:rsidR="004B5A35">
        <w:t xml:space="preserve">(PC) </w:t>
      </w:r>
      <w:r w:rsidR="00FD2101" w:rsidRPr="00FD2101">
        <w:rPr>
          <w:i/>
        </w:rPr>
        <w:t>Report on Government Services</w:t>
      </w:r>
      <w:r w:rsidR="00FD2101">
        <w:t xml:space="preserve"> </w:t>
      </w:r>
      <w:r w:rsidR="00A804E5" w:rsidRPr="00A858DF">
        <w:t xml:space="preserve">data to split component expenses </w:t>
      </w:r>
      <w:r w:rsidR="00BF71FC">
        <w:t>between</w:t>
      </w:r>
      <w:r w:rsidR="00A804E5" w:rsidRPr="00A858DF">
        <w:t xml:space="preserve"> </w:t>
      </w:r>
      <w:r w:rsidR="00CE1E3C" w:rsidRPr="002D5ECA">
        <w:t>child protection and out</w:t>
      </w:r>
      <w:r w:rsidR="00CE1E3C" w:rsidRPr="002D5ECA">
        <w:noBreakHyphen/>
        <w:t>of</w:t>
      </w:r>
      <w:r w:rsidR="00CE1E3C" w:rsidRPr="002D5ECA">
        <w:noBreakHyphen/>
        <w:t>home care</w:t>
      </w:r>
      <w:r w:rsidR="00CE1E3C">
        <w:t xml:space="preserve"> (OOHC)</w:t>
      </w:r>
      <w:r w:rsidR="00CE1E3C" w:rsidRPr="002D5ECA">
        <w:t xml:space="preserve"> </w:t>
      </w:r>
      <w:r w:rsidR="00440E1F" w:rsidRPr="002D5ECA">
        <w:t xml:space="preserve">expenses </w:t>
      </w:r>
      <w:r w:rsidR="00CE1E3C">
        <w:t>to enable s</w:t>
      </w:r>
      <w:r w:rsidR="00BF71FC" w:rsidRPr="002D5ECA">
        <w:t xml:space="preserve">eparate </w:t>
      </w:r>
      <w:r w:rsidR="00CE1E3C" w:rsidRPr="002D5ECA">
        <w:t xml:space="preserve">child protection and </w:t>
      </w:r>
      <w:r w:rsidR="00CE1E3C">
        <w:t xml:space="preserve">OOHC </w:t>
      </w:r>
      <w:r w:rsidR="00BF71FC" w:rsidRPr="002D5ECA">
        <w:t xml:space="preserve">assessments because Indigenous use of each </w:t>
      </w:r>
      <w:r w:rsidR="00BF71FC">
        <w:t>is</w:t>
      </w:r>
      <w:r w:rsidR="00BF71FC" w:rsidRPr="002D5ECA">
        <w:t xml:space="preserve"> materially different.</w:t>
      </w:r>
      <w:r w:rsidR="00BF71FC">
        <w:t xml:space="preserve"> </w:t>
      </w:r>
      <w:r w:rsidR="00931F86">
        <w:t>In addition to the socio-demographic composition (SDC) influences of age</w:t>
      </w:r>
      <w:r w:rsidR="00365922">
        <w:t>,</w:t>
      </w:r>
      <w:r w:rsidR="00931F86" w:rsidRPr="00931F86">
        <w:t xml:space="preserve"> </w:t>
      </w:r>
      <w:r w:rsidR="00931F86" w:rsidRPr="002D5ECA">
        <w:t>Indigenous status, SES and remoteness</w:t>
      </w:r>
      <w:r w:rsidR="00931F86">
        <w:t>, t</w:t>
      </w:r>
      <w:r w:rsidR="00DE6084">
        <w:t xml:space="preserve">he assessment takes account of </w:t>
      </w:r>
      <w:r w:rsidR="00BB6C17">
        <w:t>regional costs, wage costs and</w:t>
      </w:r>
      <w:r w:rsidR="00DE6084">
        <w:t xml:space="preserve"> service delivery scale influences.</w:t>
      </w:r>
    </w:p>
    <w:p w:rsidR="009D527B" w:rsidRDefault="009D527B" w:rsidP="009D249D">
      <w:pPr>
        <w:pStyle w:val="Heading5"/>
      </w:pPr>
      <w:r>
        <w:t>Aged care services</w:t>
      </w:r>
    </w:p>
    <w:p w:rsidR="002132CC" w:rsidRDefault="002C6977" w:rsidP="002C6977">
      <w:pPr>
        <w:pStyle w:val="CGCNumberedPara"/>
      </w:pPr>
      <w:r>
        <w:t>For the 2015 Review,</w:t>
      </w:r>
      <w:r w:rsidR="000F077A">
        <w:t xml:space="preserve"> with</w:t>
      </w:r>
      <w:r>
        <w:t xml:space="preserve"> t</w:t>
      </w:r>
      <w:r w:rsidRPr="002C6977">
        <w:t>he introduction of the new aged care and related disability services arrangements which took effect for most States from July 2011 (and Victoria from July 2015)</w:t>
      </w:r>
      <w:r>
        <w:t xml:space="preserve"> under the </w:t>
      </w:r>
      <w:r w:rsidR="0094330B">
        <w:t>N</w:t>
      </w:r>
      <w:r w:rsidRPr="002C6977">
        <w:t xml:space="preserve">ational </w:t>
      </w:r>
      <w:r w:rsidR="000F077A">
        <w:t>H</w:t>
      </w:r>
      <w:r w:rsidRPr="002C6977">
        <w:t xml:space="preserve">ealth </w:t>
      </w:r>
      <w:r w:rsidR="000F077A">
        <w:t>R</w:t>
      </w:r>
      <w:r w:rsidRPr="002C6977">
        <w:t xml:space="preserve">eform </w:t>
      </w:r>
      <w:r w:rsidR="000F077A">
        <w:t>A</w:t>
      </w:r>
      <w:r w:rsidRPr="002C6977">
        <w:t xml:space="preserve">greement, Western Australia </w:t>
      </w:r>
      <w:r>
        <w:t>was</w:t>
      </w:r>
      <w:r w:rsidRPr="002C6977">
        <w:t xml:space="preserve"> the only State with expenses on basic community care and </w:t>
      </w:r>
      <w:r w:rsidR="000F077A">
        <w:t>specialist disability</w:t>
      </w:r>
      <w:r w:rsidRPr="002C6977">
        <w:t xml:space="preserve"> services for older people </w:t>
      </w:r>
      <w:r w:rsidR="00BB6C17">
        <w:t xml:space="preserve">(those aged over 65 or over 50 for Indigenous) </w:t>
      </w:r>
      <w:r w:rsidRPr="002C6977">
        <w:t xml:space="preserve">that the Commonwealth </w:t>
      </w:r>
      <w:r w:rsidR="000F077A">
        <w:t>did</w:t>
      </w:r>
      <w:r w:rsidRPr="002C6977">
        <w:t xml:space="preserve"> not fund.</w:t>
      </w:r>
      <w:r w:rsidR="002132CC">
        <w:t xml:space="preserve"> </w:t>
      </w:r>
      <w:r w:rsidR="006C645B">
        <w:t xml:space="preserve">Because only </w:t>
      </w:r>
      <w:r w:rsidR="006C645B" w:rsidRPr="002D5ECA">
        <w:t xml:space="preserve">Western Australia </w:t>
      </w:r>
      <w:r w:rsidR="006C645B">
        <w:t>continued to have responsibility in this area and a differential assessment was not material</w:t>
      </w:r>
      <w:r w:rsidR="002132CC">
        <w:t xml:space="preserve">, </w:t>
      </w:r>
      <w:r w:rsidR="000F077A">
        <w:t>aged care expenses</w:t>
      </w:r>
      <w:r w:rsidR="002132CC">
        <w:t xml:space="preserve"> </w:t>
      </w:r>
      <w:r w:rsidR="004B0AE2">
        <w:t>are</w:t>
      </w:r>
      <w:r w:rsidR="002132CC">
        <w:t xml:space="preserve"> assessed</w:t>
      </w:r>
      <w:r w:rsidR="00950419">
        <w:t xml:space="preserve"> equal per capita (</w:t>
      </w:r>
      <w:r w:rsidR="002132CC">
        <w:t>EPC</w:t>
      </w:r>
      <w:r w:rsidR="00950419">
        <w:t>)</w:t>
      </w:r>
      <w:r w:rsidR="002132CC">
        <w:t>.</w:t>
      </w:r>
    </w:p>
    <w:p w:rsidR="002132CC" w:rsidRDefault="002132CC" w:rsidP="002132CC">
      <w:pPr>
        <w:pStyle w:val="CGCNumberedPara"/>
        <w:numPr>
          <w:ilvl w:val="1"/>
          <w:numId w:val="3"/>
        </w:numPr>
      </w:pPr>
      <w:r>
        <w:t xml:space="preserve">The Commonwealth </w:t>
      </w:r>
      <w:r w:rsidR="00EF2E84">
        <w:t xml:space="preserve">is expected to </w:t>
      </w:r>
      <w:r>
        <w:t xml:space="preserve">assume full funding policy and operational responsibility for the </w:t>
      </w:r>
      <w:r w:rsidR="00397F60">
        <w:t>Home and Community Care (</w:t>
      </w:r>
      <w:r>
        <w:t>HACC</w:t>
      </w:r>
      <w:r w:rsidR="00397F60">
        <w:t>)</w:t>
      </w:r>
      <w:r>
        <w:t xml:space="preserve"> program and specialist disability services for </w:t>
      </w:r>
      <w:r w:rsidR="000F077A">
        <w:t>o</w:t>
      </w:r>
      <w:r>
        <w:t xml:space="preserve">lder </w:t>
      </w:r>
      <w:r w:rsidR="000F077A">
        <w:t>p</w:t>
      </w:r>
      <w:r>
        <w:t xml:space="preserve">eople in Western Australia from July 2018. It took over </w:t>
      </w:r>
      <w:r w:rsidRPr="007F3CCE">
        <w:t>funding and management of HACC program services in Vic</w:t>
      </w:r>
      <w:r>
        <w:t>toria from July 2016.</w:t>
      </w:r>
    </w:p>
    <w:p w:rsidR="002132CC" w:rsidRPr="006C645B" w:rsidRDefault="00BC7F42" w:rsidP="00397F60">
      <w:pPr>
        <w:pStyle w:val="CGCNumberedPara"/>
        <w:rPr>
          <w:lang w:val="en"/>
        </w:rPr>
      </w:pPr>
      <w:r w:rsidRPr="006C645B">
        <w:rPr>
          <w:lang w:val="en"/>
        </w:rPr>
        <w:lastRenderedPageBreak/>
        <w:fldChar w:fldCharType="begin"/>
      </w:r>
      <w:r w:rsidRPr="006C645B">
        <w:rPr>
          <w:lang w:val="en"/>
        </w:rPr>
        <w:instrText xml:space="preserve"> REF _Ref477333287 \h </w:instrText>
      </w:r>
      <w:r w:rsidRPr="006C645B">
        <w:rPr>
          <w:lang w:val="en"/>
        </w:rPr>
      </w:r>
      <w:r w:rsidRPr="006C645B">
        <w:rPr>
          <w:lang w:val="en"/>
        </w:rPr>
        <w:fldChar w:fldCharType="separate"/>
      </w:r>
      <w:r w:rsidR="00835CFE">
        <w:t xml:space="preserve">Table </w:t>
      </w:r>
      <w:r w:rsidR="00835CFE">
        <w:rPr>
          <w:noProof/>
        </w:rPr>
        <w:t>3</w:t>
      </w:r>
      <w:r w:rsidRPr="006C645B">
        <w:rPr>
          <w:lang w:val="en"/>
        </w:rPr>
        <w:fldChar w:fldCharType="end"/>
      </w:r>
      <w:r>
        <w:rPr>
          <w:lang w:val="en"/>
        </w:rPr>
        <w:t xml:space="preserve"> shows that </w:t>
      </w:r>
      <w:r w:rsidR="00397F60">
        <w:rPr>
          <w:lang w:val="en"/>
        </w:rPr>
        <w:t xml:space="preserve">State expenses </w:t>
      </w:r>
      <w:r w:rsidR="005A1813" w:rsidRPr="005E09FF">
        <w:rPr>
          <w:lang w:val="en"/>
        </w:rPr>
        <w:t>for aged care</w:t>
      </w:r>
      <w:r w:rsidR="005A1813">
        <w:rPr>
          <w:lang w:val="en"/>
        </w:rPr>
        <w:t xml:space="preserve"> </w:t>
      </w:r>
      <w:r w:rsidR="00397F60">
        <w:rPr>
          <w:lang w:val="en"/>
        </w:rPr>
        <w:t>are small</w:t>
      </w:r>
      <w:r>
        <w:rPr>
          <w:lang w:val="en"/>
        </w:rPr>
        <w:t>.</w:t>
      </w:r>
    </w:p>
    <w:p w:rsidR="002132CC" w:rsidRDefault="002132CC" w:rsidP="002132CC">
      <w:pPr>
        <w:pStyle w:val="CGCTableHeading"/>
      </w:pPr>
      <w:bookmarkStart w:id="56" w:name="_Ref477333287"/>
      <w:r>
        <w:t xml:space="preserve">Table </w:t>
      </w:r>
      <w:r w:rsidR="00101636">
        <w:fldChar w:fldCharType="begin"/>
      </w:r>
      <w:r w:rsidR="00101636">
        <w:instrText xml:space="preserve"> SEQ Table \* ARABIC </w:instrText>
      </w:r>
      <w:r w:rsidR="00101636">
        <w:fldChar w:fldCharType="separate"/>
      </w:r>
      <w:r w:rsidR="00835CFE">
        <w:rPr>
          <w:noProof/>
        </w:rPr>
        <w:t>3</w:t>
      </w:r>
      <w:r w:rsidR="00101636">
        <w:rPr>
          <w:noProof/>
        </w:rPr>
        <w:fldChar w:fldCharType="end"/>
      </w:r>
      <w:bookmarkEnd w:id="56"/>
      <w:r>
        <w:tab/>
        <w:t>Estimated aged care expenses, 201</w:t>
      </w:r>
      <w:r w:rsidR="00A52E27">
        <w:t>6</w:t>
      </w:r>
      <w:r>
        <w:noBreakHyphen/>
        <w:t>1</w:t>
      </w:r>
      <w:r w:rsidR="00A52E27">
        <w:t>7</w:t>
      </w:r>
    </w:p>
    <w:tbl>
      <w:tblPr>
        <w:tblW w:w="5000" w:type="pct"/>
        <w:tblCellMar>
          <w:left w:w="85" w:type="dxa"/>
          <w:right w:w="85" w:type="dxa"/>
        </w:tblCellMar>
        <w:tblLook w:val="0000" w:firstRow="0" w:lastRow="0" w:firstColumn="0" w:lastColumn="0" w:noHBand="0" w:noVBand="0"/>
      </w:tblPr>
      <w:tblGrid>
        <w:gridCol w:w="1015"/>
        <w:gridCol w:w="1015"/>
        <w:gridCol w:w="1014"/>
        <w:gridCol w:w="1014"/>
        <w:gridCol w:w="1014"/>
        <w:gridCol w:w="1014"/>
        <w:gridCol w:w="1014"/>
        <w:gridCol w:w="1014"/>
        <w:gridCol w:w="1007"/>
      </w:tblGrid>
      <w:tr w:rsidR="002132CC" w:rsidRPr="005B4B04" w:rsidTr="002132C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NSW</w:t>
            </w:r>
          </w:p>
        </w:t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Vic</w:t>
            </w:r>
          </w:p>
        </w:t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Qld</w:t>
            </w:r>
          </w:p>
        </w:t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WA</w:t>
            </w:r>
          </w:p>
        </w:t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SA</w:t>
            </w:r>
          </w:p>
        </w:t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Tas</w:t>
            </w:r>
          </w:p>
        </w:t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ACT</w:t>
            </w:r>
          </w:p>
        </w:tc>
        <w:tc>
          <w:tcPr>
            <w:tcW w:w="556" w:type="pct"/>
            <w:tcBorders>
              <w:top w:val="single" w:sz="6" w:space="0" w:color="auto"/>
              <w:bottom w:val="single" w:sz="6" w:space="0" w:color="auto"/>
            </w:tcBorders>
            <w:vAlign w:val="bottom"/>
          </w:tcPr>
          <w:p w:rsidR="002132CC" w:rsidRPr="005B4B04" w:rsidRDefault="002132CC" w:rsidP="002132CC">
            <w:pPr>
              <w:pStyle w:val="TableColHeadings"/>
              <w:rPr>
                <w:rFonts w:cstheme="minorHAnsi"/>
              </w:rPr>
            </w:pPr>
            <w:r>
              <w:rPr>
                <w:rFonts w:cstheme="minorHAnsi"/>
              </w:rPr>
              <w:t>NT</w:t>
            </w:r>
          </w:p>
        </w:tc>
        <w:tc>
          <w:tcPr>
            <w:tcW w:w="552" w:type="pct"/>
            <w:tcBorders>
              <w:top w:val="single" w:sz="6" w:space="0" w:color="auto"/>
              <w:bottom w:val="single" w:sz="6" w:space="0" w:color="auto"/>
            </w:tcBorders>
          </w:tcPr>
          <w:p w:rsidR="002132CC" w:rsidRDefault="006C645B" w:rsidP="002132CC">
            <w:pPr>
              <w:pStyle w:val="TableColHeadings"/>
              <w:rPr>
                <w:rFonts w:cstheme="minorHAnsi"/>
              </w:rPr>
            </w:pPr>
            <w:r>
              <w:rPr>
                <w:rFonts w:cstheme="minorHAnsi"/>
              </w:rPr>
              <w:t>Total</w:t>
            </w:r>
          </w:p>
        </w:tc>
      </w:tr>
      <w:tr w:rsidR="002132CC" w:rsidRPr="005B4B04" w:rsidTr="002132C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6" w:type="pct"/>
            <w:tcMar>
              <w:top w:w="0" w:type="dxa"/>
              <w:bottom w:w="0" w:type="dxa"/>
            </w:tcMar>
            <w:vAlign w:val="bottom"/>
          </w:tcPr>
          <w:p w:rsidR="002132CC" w:rsidRPr="005B4B04" w:rsidRDefault="002132CC" w:rsidP="002132CC">
            <w:pPr>
              <w:pStyle w:val="TableRowUnits"/>
              <w:rPr>
                <w:rFonts w:cstheme="minorHAnsi"/>
              </w:rPr>
            </w:pPr>
            <w:r>
              <w:rPr>
                <w:rFonts w:cstheme="minorHAnsi"/>
              </w:rPr>
              <w:t>$m</w:t>
            </w:r>
          </w:p>
        </w:tc>
        <w:tc>
          <w:tcPr>
            <w:tcW w:w="552" w:type="pct"/>
          </w:tcPr>
          <w:p w:rsidR="002132CC" w:rsidRDefault="002132CC" w:rsidP="002132CC">
            <w:pPr>
              <w:pStyle w:val="TableRowUnits"/>
              <w:rPr>
                <w:rFonts w:cstheme="minorHAnsi"/>
              </w:rPr>
            </w:pPr>
            <w:r>
              <w:rPr>
                <w:rFonts w:cstheme="minorHAnsi"/>
              </w:rPr>
              <w:t>$m</w:t>
            </w:r>
          </w:p>
        </w:tc>
      </w:tr>
      <w:tr w:rsidR="00A52E27" w:rsidRPr="005B4B04" w:rsidTr="002132C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43</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468</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136</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135</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89</w:t>
            </w:r>
          </w:p>
        </w:tc>
        <w:tc>
          <w:tcPr>
            <w:tcW w:w="556" w:type="pct"/>
            <w:tcBorders>
              <w:bottom w:val="single" w:sz="6" w:space="0" w:color="auto"/>
            </w:tcBorders>
            <w:vAlign w:val="bottom"/>
          </w:tcPr>
          <w:p w:rsidR="00A52E27" w:rsidRDefault="00A52E27" w:rsidP="00EF2E84">
            <w:pPr>
              <w:spacing w:before="60" w:after="60" w:line="240" w:lineRule="auto"/>
              <w:jc w:val="right"/>
              <w:rPr>
                <w:rFonts w:ascii="Calibri" w:hAnsi="Calibri" w:cs="Arial"/>
                <w:sz w:val="20"/>
                <w:szCs w:val="20"/>
              </w:rPr>
            </w:pPr>
            <w:r>
              <w:rPr>
                <w:rFonts w:ascii="Calibri" w:hAnsi="Calibri" w:cs="Arial"/>
                <w:sz w:val="20"/>
                <w:szCs w:val="20"/>
              </w:rPr>
              <w:t>-1</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3</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11</w:t>
            </w:r>
          </w:p>
        </w:tc>
        <w:tc>
          <w:tcPr>
            <w:tcW w:w="552"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884</w:t>
            </w:r>
          </w:p>
        </w:tc>
      </w:tr>
    </w:tbl>
    <w:p w:rsidR="002132CC" w:rsidRDefault="002132CC" w:rsidP="002132CC">
      <w:pPr>
        <w:pStyle w:val="CGCTableFootnote"/>
      </w:pPr>
      <w:r>
        <w:t>Source:</w:t>
      </w:r>
      <w:r>
        <w:tab/>
      </w:r>
      <w:r w:rsidR="00507031">
        <w:t>Commission estimates</w:t>
      </w:r>
      <w:r w:rsidR="00507031" w:rsidRPr="00B7517F">
        <w:t xml:space="preserve"> based on State</w:t>
      </w:r>
      <w:r w:rsidR="00507031">
        <w:noBreakHyphen/>
      </w:r>
      <w:r w:rsidR="00507031" w:rsidRPr="00B7517F">
        <w:t>provided data.</w:t>
      </w:r>
    </w:p>
    <w:p w:rsidR="009D527B" w:rsidRDefault="009D527B" w:rsidP="009D249D">
      <w:pPr>
        <w:pStyle w:val="Heading5"/>
      </w:pPr>
      <w:r>
        <w:t>Disability services</w:t>
      </w:r>
    </w:p>
    <w:p w:rsidR="00D70EC0" w:rsidRPr="005E09FF" w:rsidRDefault="00D70EC0" w:rsidP="00D70EC0">
      <w:pPr>
        <w:pStyle w:val="CGCNumberedPara"/>
        <w:numPr>
          <w:ilvl w:val="1"/>
          <w:numId w:val="3"/>
        </w:numPr>
      </w:pPr>
      <w:r w:rsidRPr="005E09FF">
        <w:t xml:space="preserve">Disability expenses account for close to one half of total </w:t>
      </w:r>
      <w:r w:rsidR="00F46050" w:rsidRPr="005E09FF">
        <w:t>category</w:t>
      </w:r>
      <w:r w:rsidRPr="005E09FF">
        <w:t xml:space="preserve"> expenses</w:t>
      </w:r>
      <w:r w:rsidR="001A6C96" w:rsidRPr="005E09FF">
        <w:t>. Estimated disability expenses by State are shown in</w:t>
      </w:r>
      <w:r w:rsidRPr="005E09FF">
        <w:t xml:space="preserve"> </w:t>
      </w:r>
      <w:r w:rsidRPr="005E09FF">
        <w:fldChar w:fldCharType="begin"/>
      </w:r>
      <w:r w:rsidRPr="005E09FF">
        <w:instrText xml:space="preserve"> REF _Ref476727551 \h </w:instrText>
      </w:r>
      <w:r w:rsidR="001A6C96" w:rsidRPr="005E09FF">
        <w:instrText xml:space="preserve"> \* MERGEFORMAT </w:instrText>
      </w:r>
      <w:r w:rsidRPr="005E09FF">
        <w:fldChar w:fldCharType="separate"/>
      </w:r>
      <w:r w:rsidR="00835CFE" w:rsidRPr="005E09FF">
        <w:t xml:space="preserve">Table </w:t>
      </w:r>
      <w:r w:rsidR="00835CFE" w:rsidRPr="005E09FF">
        <w:rPr>
          <w:noProof/>
        </w:rPr>
        <w:t>4</w:t>
      </w:r>
      <w:r w:rsidRPr="005E09FF">
        <w:fldChar w:fldCharType="end"/>
      </w:r>
      <w:r w:rsidRPr="005E09FF">
        <w:t xml:space="preserve">. </w:t>
      </w:r>
    </w:p>
    <w:p w:rsidR="00D70EC0" w:rsidRDefault="00D70EC0" w:rsidP="00D70EC0">
      <w:pPr>
        <w:pStyle w:val="CGCTableHeading"/>
      </w:pPr>
      <w:bookmarkStart w:id="57" w:name="_Ref476727551"/>
      <w:r>
        <w:t xml:space="preserve">Table </w:t>
      </w:r>
      <w:r w:rsidR="00101636">
        <w:fldChar w:fldCharType="begin"/>
      </w:r>
      <w:r w:rsidR="00101636">
        <w:instrText xml:space="preserve"> SE</w:instrText>
      </w:r>
      <w:r w:rsidR="00101636">
        <w:instrText xml:space="preserve">Q Table \* ARABIC </w:instrText>
      </w:r>
      <w:r w:rsidR="00101636">
        <w:fldChar w:fldCharType="separate"/>
      </w:r>
      <w:r w:rsidR="00835CFE">
        <w:rPr>
          <w:noProof/>
        </w:rPr>
        <w:t>4</w:t>
      </w:r>
      <w:r w:rsidR="00101636">
        <w:rPr>
          <w:noProof/>
        </w:rPr>
        <w:fldChar w:fldCharType="end"/>
      </w:r>
      <w:bookmarkEnd w:id="57"/>
      <w:r>
        <w:tab/>
        <w:t>Estimated disability expenses, 201</w:t>
      </w:r>
      <w:r w:rsidR="00A52E27">
        <w:t>6</w:t>
      </w:r>
      <w:r>
        <w:noBreakHyphen/>
        <w:t>1</w:t>
      </w:r>
      <w:r w:rsidR="00A52E27">
        <w:t>7</w:t>
      </w:r>
    </w:p>
    <w:tbl>
      <w:tblPr>
        <w:tblW w:w="5000" w:type="pct"/>
        <w:tblCellMar>
          <w:left w:w="85" w:type="dxa"/>
          <w:right w:w="85" w:type="dxa"/>
        </w:tblCellMar>
        <w:tblLook w:val="0000" w:firstRow="0" w:lastRow="0" w:firstColumn="0" w:lastColumn="0" w:noHBand="0" w:noVBand="0"/>
      </w:tblPr>
      <w:tblGrid>
        <w:gridCol w:w="1015"/>
        <w:gridCol w:w="1015"/>
        <w:gridCol w:w="1014"/>
        <w:gridCol w:w="1014"/>
        <w:gridCol w:w="1014"/>
        <w:gridCol w:w="1014"/>
        <w:gridCol w:w="1014"/>
        <w:gridCol w:w="1014"/>
        <w:gridCol w:w="1007"/>
      </w:tblGrid>
      <w:tr w:rsidR="00D70EC0" w:rsidRPr="005B4B04" w:rsidTr="008E5FF9">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NSW</w:t>
            </w:r>
          </w:p>
        </w:tc>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Vic</w:t>
            </w:r>
          </w:p>
        </w:tc>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Qld</w:t>
            </w:r>
          </w:p>
        </w:tc>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WA</w:t>
            </w:r>
          </w:p>
        </w:tc>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SA</w:t>
            </w:r>
          </w:p>
        </w:tc>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Tas</w:t>
            </w:r>
          </w:p>
        </w:tc>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ACT</w:t>
            </w:r>
          </w:p>
        </w:tc>
        <w:tc>
          <w:tcPr>
            <w:tcW w:w="556" w:type="pct"/>
            <w:tcBorders>
              <w:top w:val="single" w:sz="6" w:space="0" w:color="auto"/>
              <w:bottom w:val="single" w:sz="6" w:space="0" w:color="auto"/>
            </w:tcBorders>
            <w:vAlign w:val="bottom"/>
          </w:tcPr>
          <w:p w:rsidR="00D70EC0" w:rsidRPr="005B4B04" w:rsidRDefault="00D70EC0" w:rsidP="008E5FF9">
            <w:pPr>
              <w:pStyle w:val="TableColHeadings"/>
              <w:rPr>
                <w:rFonts w:cstheme="minorHAnsi"/>
              </w:rPr>
            </w:pPr>
            <w:r>
              <w:rPr>
                <w:rFonts w:cstheme="minorHAnsi"/>
              </w:rPr>
              <w:t>NT</w:t>
            </w:r>
          </w:p>
        </w:tc>
        <w:tc>
          <w:tcPr>
            <w:tcW w:w="552" w:type="pct"/>
            <w:tcBorders>
              <w:top w:val="single" w:sz="6" w:space="0" w:color="auto"/>
              <w:bottom w:val="single" w:sz="6" w:space="0" w:color="auto"/>
            </w:tcBorders>
          </w:tcPr>
          <w:p w:rsidR="00D70EC0" w:rsidRDefault="00D70EC0" w:rsidP="008E5FF9">
            <w:pPr>
              <w:pStyle w:val="TableColHeadings"/>
              <w:rPr>
                <w:rFonts w:cstheme="minorHAnsi"/>
              </w:rPr>
            </w:pPr>
            <w:r>
              <w:rPr>
                <w:rFonts w:cstheme="minorHAnsi"/>
              </w:rPr>
              <w:t>Total</w:t>
            </w:r>
          </w:p>
        </w:tc>
      </w:tr>
      <w:tr w:rsidR="00D70EC0" w:rsidRPr="005B4B04" w:rsidTr="008E5FF9">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6" w:type="pct"/>
            <w:tcMar>
              <w:top w:w="0" w:type="dxa"/>
              <w:bottom w:w="0" w:type="dxa"/>
            </w:tcMar>
            <w:vAlign w:val="bottom"/>
          </w:tcPr>
          <w:p w:rsidR="00D70EC0" w:rsidRPr="005B4B04" w:rsidRDefault="00D70EC0" w:rsidP="008E5FF9">
            <w:pPr>
              <w:pStyle w:val="TableRowUnits"/>
              <w:rPr>
                <w:rFonts w:cstheme="minorHAnsi"/>
              </w:rPr>
            </w:pPr>
            <w:r>
              <w:rPr>
                <w:rFonts w:cstheme="minorHAnsi"/>
              </w:rPr>
              <w:t>$m</w:t>
            </w:r>
          </w:p>
        </w:tc>
        <w:tc>
          <w:tcPr>
            <w:tcW w:w="552" w:type="pct"/>
          </w:tcPr>
          <w:p w:rsidR="00D70EC0" w:rsidRDefault="00D70EC0" w:rsidP="008E5FF9">
            <w:pPr>
              <w:pStyle w:val="TableRowUnits"/>
              <w:rPr>
                <w:rFonts w:cstheme="minorHAnsi"/>
              </w:rPr>
            </w:pPr>
            <w:r>
              <w:rPr>
                <w:rFonts w:cstheme="minorHAnsi"/>
              </w:rPr>
              <w:t>$m</w:t>
            </w:r>
          </w:p>
        </w:tc>
      </w:tr>
      <w:tr w:rsidR="00A52E27" w:rsidRPr="005B4B04" w:rsidTr="008E5FF9">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2 859</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1 786</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1 390</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986</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722</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193</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150</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121</w:t>
            </w:r>
          </w:p>
        </w:tc>
        <w:tc>
          <w:tcPr>
            <w:tcW w:w="552"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8 208</w:t>
            </w:r>
          </w:p>
        </w:tc>
      </w:tr>
    </w:tbl>
    <w:p w:rsidR="00D70EC0" w:rsidRDefault="00D70EC0" w:rsidP="00D70EC0">
      <w:pPr>
        <w:pStyle w:val="CGCTableFootnote"/>
      </w:pPr>
      <w:r>
        <w:t>Source:</w:t>
      </w:r>
      <w:r>
        <w:tab/>
      </w:r>
      <w:r w:rsidR="00507031">
        <w:t>Commission estimates</w:t>
      </w:r>
      <w:r w:rsidR="00507031" w:rsidRPr="00B7517F">
        <w:t xml:space="preserve"> based on State</w:t>
      </w:r>
      <w:r w:rsidR="00507031">
        <w:noBreakHyphen/>
      </w:r>
      <w:r w:rsidR="00507031" w:rsidRPr="00B7517F">
        <w:t>provided data.</w:t>
      </w:r>
    </w:p>
    <w:p w:rsidR="00D70EC0" w:rsidRDefault="00D70EC0" w:rsidP="00D70EC0">
      <w:pPr>
        <w:pStyle w:val="CGCNumberedPara"/>
        <w:numPr>
          <w:ilvl w:val="1"/>
          <w:numId w:val="3"/>
        </w:numPr>
      </w:pPr>
      <w:r>
        <w:t>D</w:t>
      </w:r>
      <w:r w:rsidRPr="002D5ECA">
        <w:t xml:space="preserve">uring the transition to the </w:t>
      </w:r>
      <w:r w:rsidR="00115508">
        <w:t>National Disability Insurance Scheme (</w:t>
      </w:r>
      <w:r w:rsidRPr="002D5ECA">
        <w:t>NDIS</w:t>
      </w:r>
      <w:r w:rsidR="00115508">
        <w:t>)</w:t>
      </w:r>
      <w:r w:rsidRPr="002D5ECA">
        <w:t xml:space="preserve">, dual disability services assessments </w:t>
      </w:r>
      <w:r w:rsidR="004B0AE2">
        <w:t>are</w:t>
      </w:r>
      <w:r>
        <w:t xml:space="preserve"> undertaken </w:t>
      </w:r>
      <w:r w:rsidRPr="002D5ECA">
        <w:t xml:space="preserve">— one for the NDIS and one for State expenses associated with existing </w:t>
      </w:r>
      <w:r>
        <w:t xml:space="preserve">disability </w:t>
      </w:r>
      <w:r w:rsidRPr="002D5ECA">
        <w:t xml:space="preserve">services. Because the implementation of the NDIS </w:t>
      </w:r>
      <w:r>
        <w:t>was considered to be</w:t>
      </w:r>
      <w:r w:rsidRPr="002D5ECA">
        <w:t xml:space="preserve"> a major change in Commonwealth</w:t>
      </w:r>
      <w:r w:rsidR="00E76EFD">
        <w:noBreakHyphen/>
      </w:r>
      <w:r w:rsidRPr="002D5ECA">
        <w:t>State relations, the change</w:t>
      </w:r>
      <w:r>
        <w:t xml:space="preserve"> </w:t>
      </w:r>
      <w:r w:rsidR="004B0AE2">
        <w:t>is</w:t>
      </w:r>
      <w:r>
        <w:t xml:space="preserve"> backcast</w:t>
      </w:r>
      <w:r w:rsidRPr="002D5ECA">
        <w:t>.</w:t>
      </w:r>
      <w:r>
        <w:t xml:space="preserve"> </w:t>
      </w:r>
      <w:r w:rsidR="00950419">
        <w:t xml:space="preserve">For this purpose, State data </w:t>
      </w:r>
      <w:r w:rsidR="00E76EFD">
        <w:t xml:space="preserve">are </w:t>
      </w:r>
      <w:r w:rsidR="00950419">
        <w:t xml:space="preserve">obtained </w:t>
      </w:r>
      <w:r w:rsidR="004F3BEE">
        <w:t xml:space="preserve">annually </w:t>
      </w:r>
      <w:r w:rsidR="00950419">
        <w:t xml:space="preserve">on the projected share of disability expenses </w:t>
      </w:r>
      <w:r w:rsidR="00440E1F">
        <w:t xml:space="preserve">in the application year </w:t>
      </w:r>
      <w:r w:rsidR="00950419">
        <w:t xml:space="preserve">to split expenses between NDIS and existing disability expenses. </w:t>
      </w:r>
      <w:r w:rsidR="00E76EFD">
        <w:t xml:space="preserve">Commonwealth </w:t>
      </w:r>
      <w:r>
        <w:t>Department of Social Services data on t</w:t>
      </w:r>
      <w:r w:rsidRPr="002D5ECA">
        <w:t xml:space="preserve">he </w:t>
      </w:r>
      <w:r>
        <w:t xml:space="preserve">estimated </w:t>
      </w:r>
      <w:r w:rsidRPr="002D5ECA">
        <w:t xml:space="preserve">number of </w:t>
      </w:r>
      <w:r w:rsidR="00115508">
        <w:t>‘y</w:t>
      </w:r>
      <w:r>
        <w:t xml:space="preserve">ounger </w:t>
      </w:r>
      <w:r w:rsidR="00115508">
        <w:t>p</w:t>
      </w:r>
      <w:r w:rsidRPr="002D5ECA">
        <w:t>eople</w:t>
      </w:r>
      <w:r w:rsidR="00115508">
        <w:t>’</w:t>
      </w:r>
      <w:r w:rsidRPr="002D5ECA">
        <w:t xml:space="preserve"> </w:t>
      </w:r>
      <w:r w:rsidRPr="00192A89">
        <w:t>(those aged under 65</w:t>
      </w:r>
      <w:r>
        <w:t xml:space="preserve"> or</w:t>
      </w:r>
      <w:r w:rsidRPr="00192A89">
        <w:t xml:space="preserve"> under 50 for Indigenous) </w:t>
      </w:r>
      <w:r>
        <w:t>meeting</w:t>
      </w:r>
      <w:r w:rsidRPr="002D5ECA">
        <w:t xml:space="preserve"> the (full coverage) access requirements of the NDIS</w:t>
      </w:r>
      <w:r>
        <w:t xml:space="preserve"> in the application year </w:t>
      </w:r>
      <w:r w:rsidR="004B0AE2">
        <w:t>are</w:t>
      </w:r>
      <w:r>
        <w:t xml:space="preserve"> used as the driver of both NDIS expenses and existing disability services expenses. Cross</w:t>
      </w:r>
      <w:r>
        <w:noBreakHyphen/>
        <w:t>border, wage cost</w:t>
      </w:r>
      <w:r w:rsidR="00E76EFD">
        <w:t>s</w:t>
      </w:r>
      <w:r>
        <w:t xml:space="preserve"> and regional cost</w:t>
      </w:r>
      <w:r w:rsidR="00E76EFD">
        <w:t>s</w:t>
      </w:r>
      <w:r>
        <w:t xml:space="preserve"> influences </w:t>
      </w:r>
      <w:r w:rsidR="004B0AE2">
        <w:t>are</w:t>
      </w:r>
      <w:r>
        <w:t xml:space="preserve"> also taken into account in the existing disability services assessment.</w:t>
      </w:r>
    </w:p>
    <w:p w:rsidR="00D70EC0" w:rsidRDefault="009D527B" w:rsidP="00D70EC0">
      <w:pPr>
        <w:pStyle w:val="CGCNumberedPara"/>
        <w:numPr>
          <w:ilvl w:val="1"/>
          <w:numId w:val="3"/>
        </w:numPr>
        <w:ind w:right="-263"/>
      </w:pPr>
      <w:r w:rsidRPr="009D527B">
        <w:rPr>
          <w:rStyle w:val="Heading6Char"/>
        </w:rPr>
        <w:t>NDIS.</w:t>
      </w:r>
      <w:r>
        <w:t xml:space="preserve"> </w:t>
      </w:r>
      <w:r w:rsidR="00D70EC0">
        <w:t xml:space="preserve">State data indicate that NDIS expenses are estimated to account for an average </w:t>
      </w:r>
      <w:r w:rsidR="00FA54BF">
        <w:t>71</w:t>
      </w:r>
      <w:r w:rsidR="00D70EC0">
        <w:t>% of projected 201</w:t>
      </w:r>
      <w:r w:rsidR="004F3BEE">
        <w:t>8</w:t>
      </w:r>
      <w:r w:rsidR="00D70EC0">
        <w:noBreakHyphen/>
        <w:t>1</w:t>
      </w:r>
      <w:r w:rsidR="004F3BEE">
        <w:t>9</w:t>
      </w:r>
      <w:r w:rsidR="00D70EC0">
        <w:t xml:space="preserve"> disability expenses. This share will continue to increase as the NDIS moves to full implementation.</w:t>
      </w:r>
    </w:p>
    <w:p w:rsidR="00D70EC0" w:rsidRDefault="00D70EC0" w:rsidP="00D70EC0">
      <w:pPr>
        <w:pStyle w:val="CGCNumberedPara"/>
        <w:numPr>
          <w:ilvl w:val="1"/>
          <w:numId w:val="3"/>
        </w:numPr>
        <w:ind w:right="-263"/>
      </w:pPr>
      <w:r>
        <w:t xml:space="preserve">New South Wales and South Australia </w:t>
      </w:r>
      <w:r w:rsidR="004F3BEE">
        <w:t>are</w:t>
      </w:r>
      <w:r>
        <w:t xml:space="preserve"> anticipated to be at full scheme in 2018-19. The full scheme has been implemented in the ACT since 1 July 2017 but the ACT will not be contributing financially on a full scheme funding basis until 2019-20. Full scheme arrangements have not yet been agreed with Western Australia</w:t>
      </w:r>
      <w:r w:rsidR="00AF7388">
        <w:t>,</w:t>
      </w:r>
      <w:r>
        <w:t xml:space="preserve"> but 2020</w:t>
      </w:r>
      <w:r>
        <w:noBreakHyphen/>
        <w:t xml:space="preserve">21 (the application year for the 2020 Review) has been agreed as the full scheme date in its </w:t>
      </w:r>
      <w:r w:rsidR="00D907BA">
        <w:t>t</w:t>
      </w:r>
      <w:r>
        <w:t xml:space="preserve">ransition </w:t>
      </w:r>
      <w:r w:rsidR="00D907BA">
        <w:t>a</w:t>
      </w:r>
      <w:r>
        <w:t xml:space="preserve">greement. The other States </w:t>
      </w:r>
      <w:r w:rsidR="004F3BEE">
        <w:t>are</w:t>
      </w:r>
      <w:r>
        <w:t xml:space="preserve"> anticipated to be at full scheme in 2019</w:t>
      </w:r>
      <w:r>
        <w:noBreakHyphen/>
        <w:t>20.</w:t>
      </w:r>
    </w:p>
    <w:p w:rsidR="00115508" w:rsidRDefault="00115508" w:rsidP="00A674AF">
      <w:pPr>
        <w:pStyle w:val="CGCNumberedPara"/>
        <w:numPr>
          <w:ilvl w:val="1"/>
          <w:numId w:val="3"/>
        </w:numPr>
        <w:ind w:right="-263"/>
      </w:pPr>
      <w:r w:rsidRPr="00EC79CF">
        <w:t>When the NDIS becomes fully operational, State contributions will</w:t>
      </w:r>
      <w:r>
        <w:t xml:space="preserve"> </w:t>
      </w:r>
      <w:r w:rsidRPr="00EC79CF">
        <w:t xml:space="preserve">change from payments </w:t>
      </w:r>
      <w:r w:rsidR="00A674AF">
        <w:t>that</w:t>
      </w:r>
      <w:r w:rsidRPr="00EC79CF">
        <w:t xml:space="preserve"> recognise the number of people covered by the scheme in each State to </w:t>
      </w:r>
      <w:r w:rsidR="00950419">
        <w:lastRenderedPageBreak/>
        <w:t xml:space="preserve">EPC </w:t>
      </w:r>
      <w:r w:rsidRPr="00EC79CF">
        <w:t xml:space="preserve">contributions based on State population shares at Census time. Because at that time, State policies will have no influence on their NDIS expenses, </w:t>
      </w:r>
      <w:r w:rsidR="00992465">
        <w:t>the Commission</w:t>
      </w:r>
      <w:r w:rsidRPr="00EC79CF">
        <w:t xml:space="preserve"> </w:t>
      </w:r>
      <w:r w:rsidR="006449E5">
        <w:t>said</w:t>
      </w:r>
      <w:r w:rsidR="00A674AF">
        <w:t>,</w:t>
      </w:r>
      <w:r w:rsidR="006449E5">
        <w:t xml:space="preserve"> </w:t>
      </w:r>
      <w:r>
        <w:t xml:space="preserve">in the 2015 Review </w:t>
      </w:r>
      <w:r w:rsidR="006449E5">
        <w:t>report</w:t>
      </w:r>
      <w:r w:rsidR="00A674AF">
        <w:t>,</w:t>
      </w:r>
      <w:r w:rsidR="006449E5">
        <w:t xml:space="preserve"> </w:t>
      </w:r>
      <w:r>
        <w:t>that</w:t>
      </w:r>
      <w:r w:rsidR="00A674AF">
        <w:t xml:space="preserve"> </w:t>
      </w:r>
      <w:r w:rsidRPr="00EC79CF">
        <w:t xml:space="preserve">State contributions </w:t>
      </w:r>
      <w:r w:rsidR="00401547">
        <w:t>w</w:t>
      </w:r>
      <w:r>
        <w:t xml:space="preserve">ould be assessed </w:t>
      </w:r>
      <w:r w:rsidR="00950419">
        <w:t>actual per capita (</w:t>
      </w:r>
      <w:r w:rsidRPr="00EC79CF">
        <w:t>APC</w:t>
      </w:r>
      <w:r w:rsidR="00950419">
        <w:t>)</w:t>
      </w:r>
      <w:r w:rsidR="009B739C">
        <w:t xml:space="preserve"> to capture the annual change in population shares</w:t>
      </w:r>
      <w:r w:rsidR="00401547" w:rsidRPr="00EC79CF">
        <w:t>.</w:t>
      </w:r>
      <w:r w:rsidR="006449E5">
        <w:t xml:space="preserve"> </w:t>
      </w:r>
    </w:p>
    <w:p w:rsidR="00112F8D" w:rsidRDefault="009D527B" w:rsidP="00287E6F">
      <w:pPr>
        <w:pStyle w:val="CGCNumberedPara"/>
      </w:pPr>
      <w:r w:rsidRPr="009D527B">
        <w:rPr>
          <w:rStyle w:val="Heading6Char"/>
        </w:rPr>
        <w:t>Non-NDIS disability services.</w:t>
      </w:r>
      <w:r>
        <w:t xml:space="preserve"> </w:t>
      </w:r>
      <w:r w:rsidR="00112F8D">
        <w:t>In the 2015 Review</w:t>
      </w:r>
      <w:r w:rsidR="00A674AF">
        <w:t xml:space="preserve"> report</w:t>
      </w:r>
      <w:r w:rsidR="00112F8D">
        <w:t xml:space="preserve">, the Commission said it would continue its </w:t>
      </w:r>
      <w:r w:rsidR="00112F8D" w:rsidRPr="00EC79CF">
        <w:t xml:space="preserve">‘dual’ assessment approach, with concurrent assessments of State needs in relation to the NDIS and </w:t>
      </w:r>
      <w:r w:rsidR="00112F8D">
        <w:t>existing</w:t>
      </w:r>
      <w:r w:rsidR="00112F8D" w:rsidRPr="00EC79CF">
        <w:t xml:space="preserve"> disability services</w:t>
      </w:r>
      <w:r w:rsidR="00112F8D">
        <w:t xml:space="preserve">, until the non-NDIS service provision assessment </w:t>
      </w:r>
      <w:r w:rsidR="009B739C">
        <w:t>wa</w:t>
      </w:r>
      <w:r w:rsidR="00112F8D">
        <w:t xml:space="preserve">s no longer material. </w:t>
      </w:r>
    </w:p>
    <w:p w:rsidR="009D527B" w:rsidRDefault="009D527B" w:rsidP="009D249D">
      <w:pPr>
        <w:pStyle w:val="Heading5"/>
      </w:pPr>
      <w:r>
        <w:t>Concessions</w:t>
      </w:r>
    </w:p>
    <w:p w:rsidR="0094355B" w:rsidRDefault="0008142D" w:rsidP="0094355B">
      <w:pPr>
        <w:pStyle w:val="CGCNumberedPara"/>
      </w:pPr>
      <w:r>
        <w:fldChar w:fldCharType="begin"/>
      </w:r>
      <w:r>
        <w:instrText xml:space="preserve"> REF _Ref476727982 \h </w:instrText>
      </w:r>
      <w:r>
        <w:fldChar w:fldCharType="separate"/>
      </w:r>
      <w:r w:rsidR="00835CFE">
        <w:t xml:space="preserve">Table </w:t>
      </w:r>
      <w:r w:rsidR="00835CFE">
        <w:rPr>
          <w:noProof/>
        </w:rPr>
        <w:t>5</w:t>
      </w:r>
      <w:r>
        <w:fldChar w:fldCharType="end"/>
      </w:r>
      <w:r>
        <w:t xml:space="preserve"> </w:t>
      </w:r>
      <w:r w:rsidR="00F533A9">
        <w:t xml:space="preserve">shows </w:t>
      </w:r>
      <w:r>
        <w:t xml:space="preserve">expenses relating to concessions </w:t>
      </w:r>
      <w:r w:rsidR="0094355B">
        <w:t>for rates, water and wastewater, and electricity and other energy concessions</w:t>
      </w:r>
      <w:r>
        <w:t>.</w:t>
      </w:r>
      <w:r w:rsidR="0094355B">
        <w:t xml:space="preserve"> </w:t>
      </w:r>
    </w:p>
    <w:p w:rsidR="0094355B" w:rsidRDefault="0094355B" w:rsidP="0094355B">
      <w:pPr>
        <w:pStyle w:val="CGCTableHeading"/>
      </w:pPr>
      <w:bookmarkStart w:id="58" w:name="_Ref476727982"/>
      <w:r>
        <w:t xml:space="preserve">Table </w:t>
      </w:r>
      <w:r w:rsidR="00101636">
        <w:fldChar w:fldCharType="begin"/>
      </w:r>
      <w:r w:rsidR="00101636">
        <w:instrText xml:space="preserve"> SEQ Table \* ARABIC </w:instrText>
      </w:r>
      <w:r w:rsidR="00101636">
        <w:fldChar w:fldCharType="separate"/>
      </w:r>
      <w:r w:rsidR="00835CFE">
        <w:rPr>
          <w:noProof/>
        </w:rPr>
        <w:t>5</w:t>
      </w:r>
      <w:r w:rsidR="00101636">
        <w:rPr>
          <w:noProof/>
        </w:rPr>
        <w:fldChar w:fldCharType="end"/>
      </w:r>
      <w:bookmarkEnd w:id="58"/>
      <w:r>
        <w:tab/>
        <w:t>Estimated concessions expenses, 201</w:t>
      </w:r>
      <w:r w:rsidR="00A52E27">
        <w:t>6</w:t>
      </w:r>
      <w:r>
        <w:noBreakHyphen/>
      </w:r>
      <w:r w:rsidR="00A52E27">
        <w:t>17</w:t>
      </w:r>
    </w:p>
    <w:tbl>
      <w:tblPr>
        <w:tblW w:w="5000" w:type="pct"/>
        <w:tblCellMar>
          <w:left w:w="85" w:type="dxa"/>
          <w:right w:w="85" w:type="dxa"/>
        </w:tblCellMar>
        <w:tblLook w:val="0000" w:firstRow="0" w:lastRow="0" w:firstColumn="0" w:lastColumn="0" w:noHBand="0" w:noVBand="0"/>
      </w:tblPr>
      <w:tblGrid>
        <w:gridCol w:w="1015"/>
        <w:gridCol w:w="1015"/>
        <w:gridCol w:w="1014"/>
        <w:gridCol w:w="1014"/>
        <w:gridCol w:w="1014"/>
        <w:gridCol w:w="1014"/>
        <w:gridCol w:w="1014"/>
        <w:gridCol w:w="1014"/>
        <w:gridCol w:w="1007"/>
      </w:tblGrid>
      <w:tr w:rsidR="0094355B" w:rsidRPr="005B4B04" w:rsidTr="008E5FF9">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NSW</w:t>
            </w:r>
          </w:p>
        </w:tc>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Vic</w:t>
            </w:r>
          </w:p>
        </w:tc>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Qld</w:t>
            </w:r>
          </w:p>
        </w:tc>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WA</w:t>
            </w:r>
          </w:p>
        </w:tc>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SA</w:t>
            </w:r>
          </w:p>
        </w:tc>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Tas</w:t>
            </w:r>
          </w:p>
        </w:tc>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ACT</w:t>
            </w:r>
          </w:p>
        </w:tc>
        <w:tc>
          <w:tcPr>
            <w:tcW w:w="556" w:type="pct"/>
            <w:tcBorders>
              <w:top w:val="single" w:sz="6" w:space="0" w:color="auto"/>
              <w:bottom w:val="single" w:sz="6" w:space="0" w:color="auto"/>
            </w:tcBorders>
            <w:vAlign w:val="bottom"/>
          </w:tcPr>
          <w:p w:rsidR="0094355B" w:rsidRPr="005B4B04" w:rsidRDefault="0094355B" w:rsidP="008E5FF9">
            <w:pPr>
              <w:pStyle w:val="TableColHeadings"/>
              <w:rPr>
                <w:rFonts w:cstheme="minorHAnsi"/>
              </w:rPr>
            </w:pPr>
            <w:r>
              <w:rPr>
                <w:rFonts w:cstheme="minorHAnsi"/>
              </w:rPr>
              <w:t>NT</w:t>
            </w:r>
          </w:p>
        </w:tc>
        <w:tc>
          <w:tcPr>
            <w:tcW w:w="552" w:type="pct"/>
            <w:tcBorders>
              <w:top w:val="single" w:sz="6" w:space="0" w:color="auto"/>
              <w:bottom w:val="single" w:sz="6" w:space="0" w:color="auto"/>
            </w:tcBorders>
          </w:tcPr>
          <w:p w:rsidR="0094355B" w:rsidRDefault="005B60C7" w:rsidP="008E5FF9">
            <w:pPr>
              <w:pStyle w:val="TableColHeadings"/>
              <w:rPr>
                <w:rFonts w:cstheme="minorHAnsi"/>
              </w:rPr>
            </w:pPr>
            <w:r>
              <w:rPr>
                <w:rFonts w:cstheme="minorHAnsi"/>
              </w:rPr>
              <w:t>Total</w:t>
            </w:r>
          </w:p>
        </w:tc>
      </w:tr>
      <w:tr w:rsidR="0094355B" w:rsidRPr="005B4B04" w:rsidTr="008E5FF9">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6" w:type="pct"/>
            <w:tcMar>
              <w:top w:w="0" w:type="dxa"/>
              <w:bottom w:w="0" w:type="dxa"/>
            </w:tcMar>
            <w:vAlign w:val="bottom"/>
          </w:tcPr>
          <w:p w:rsidR="0094355B" w:rsidRPr="005B4B04" w:rsidRDefault="0094355B" w:rsidP="008E5FF9">
            <w:pPr>
              <w:pStyle w:val="TableRowUnits"/>
              <w:rPr>
                <w:rFonts w:cstheme="minorHAnsi"/>
              </w:rPr>
            </w:pPr>
            <w:r>
              <w:rPr>
                <w:rFonts w:cstheme="minorHAnsi"/>
              </w:rPr>
              <w:t>$m</w:t>
            </w:r>
          </w:p>
        </w:tc>
        <w:tc>
          <w:tcPr>
            <w:tcW w:w="552" w:type="pct"/>
          </w:tcPr>
          <w:p w:rsidR="0094355B" w:rsidRDefault="0094355B" w:rsidP="008E5FF9">
            <w:pPr>
              <w:pStyle w:val="TableRowUnits"/>
              <w:rPr>
                <w:rFonts w:cstheme="minorHAnsi"/>
              </w:rPr>
            </w:pPr>
            <w:r>
              <w:rPr>
                <w:rFonts w:cstheme="minorHAnsi"/>
              </w:rPr>
              <w:t>$m</w:t>
            </w:r>
          </w:p>
        </w:tc>
      </w:tr>
      <w:tr w:rsidR="00A52E27" w:rsidRPr="005B4B04" w:rsidTr="008E5FF9">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473</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527</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263</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403</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134</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70</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42</w:t>
            </w:r>
          </w:p>
        </w:tc>
        <w:tc>
          <w:tcPr>
            <w:tcW w:w="556"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 xml:space="preserve"> 30</w:t>
            </w:r>
          </w:p>
        </w:tc>
        <w:tc>
          <w:tcPr>
            <w:tcW w:w="552" w:type="pct"/>
            <w:tcBorders>
              <w:bottom w:val="single" w:sz="6" w:space="0" w:color="auto"/>
            </w:tcBorders>
            <w:vAlign w:val="bottom"/>
          </w:tcPr>
          <w:p w:rsidR="00A52E27" w:rsidRDefault="00A52E27" w:rsidP="00A52E27">
            <w:pPr>
              <w:spacing w:before="60" w:after="60" w:line="240" w:lineRule="auto"/>
              <w:jc w:val="right"/>
              <w:rPr>
                <w:rFonts w:ascii="Calibri" w:hAnsi="Calibri" w:cs="Arial"/>
                <w:sz w:val="20"/>
                <w:szCs w:val="20"/>
              </w:rPr>
            </w:pPr>
            <w:r>
              <w:rPr>
                <w:rFonts w:ascii="Calibri" w:hAnsi="Calibri" w:cs="Arial"/>
                <w:sz w:val="20"/>
                <w:szCs w:val="20"/>
              </w:rPr>
              <w:t>1 942</w:t>
            </w:r>
          </w:p>
        </w:tc>
      </w:tr>
    </w:tbl>
    <w:p w:rsidR="0094355B" w:rsidRDefault="0094355B" w:rsidP="0094355B">
      <w:pPr>
        <w:pStyle w:val="CGCTableFootnote"/>
      </w:pPr>
      <w:r>
        <w:t>Source:</w:t>
      </w:r>
      <w:r>
        <w:tab/>
      </w:r>
      <w:r w:rsidR="00507031" w:rsidRPr="00B7517F">
        <w:t>State</w:t>
      </w:r>
      <w:r w:rsidR="00507031">
        <w:noBreakHyphen/>
      </w:r>
      <w:r w:rsidR="00507031" w:rsidRPr="00B7517F">
        <w:t>provided data.</w:t>
      </w:r>
    </w:p>
    <w:p w:rsidR="00314093" w:rsidRDefault="004261EB" w:rsidP="0094355B">
      <w:pPr>
        <w:pStyle w:val="CGCNumberedPara"/>
      </w:pPr>
      <w:r>
        <w:t xml:space="preserve">Concessions </w:t>
      </w:r>
      <w:r w:rsidR="004B0AE2">
        <w:t>are</w:t>
      </w:r>
      <w:r w:rsidR="0094355B">
        <w:t xml:space="preserve"> assessed using </w:t>
      </w:r>
      <w:r w:rsidR="006C06CF">
        <w:t>State shares of the</w:t>
      </w:r>
      <w:r w:rsidR="0094355B" w:rsidRPr="002D5ECA">
        <w:t xml:space="preserve"> number of pensioner concession card plu</w:t>
      </w:r>
      <w:r w:rsidR="0094355B">
        <w:t xml:space="preserve">s health care card holders </w:t>
      </w:r>
      <w:r w:rsidR="0094355B" w:rsidRPr="002D5ECA">
        <w:t xml:space="preserve">in each State </w:t>
      </w:r>
      <w:r w:rsidR="00314093">
        <w:t xml:space="preserve">(using Centrelink and Department of Veterans’ Affairs data) </w:t>
      </w:r>
      <w:r w:rsidR="0094355B" w:rsidRPr="002D5ECA">
        <w:t>as a proportion of State population</w:t>
      </w:r>
      <w:r w:rsidR="0094355B">
        <w:t>s</w:t>
      </w:r>
      <w:r w:rsidR="0094355B" w:rsidRPr="002D5ECA">
        <w:t>.</w:t>
      </w:r>
      <w:r w:rsidR="0094355B">
        <w:t xml:space="preserve"> </w:t>
      </w:r>
    </w:p>
    <w:p w:rsidR="0094355B" w:rsidRPr="009D249D" w:rsidRDefault="0094355B" w:rsidP="009D249D">
      <w:pPr>
        <w:pStyle w:val="Heading5"/>
      </w:pPr>
      <w:r w:rsidRPr="009D249D">
        <w:t>Other general welfare</w:t>
      </w:r>
    </w:p>
    <w:p w:rsidR="00814579" w:rsidRDefault="00814579" w:rsidP="00814579">
      <w:pPr>
        <w:pStyle w:val="CGCNumberedPara"/>
        <w:numPr>
          <w:ilvl w:val="1"/>
          <w:numId w:val="3"/>
        </w:numPr>
      </w:pPr>
      <w:r>
        <w:t>The</w:t>
      </w:r>
      <w:r w:rsidR="00273EC8">
        <w:t xml:space="preserve"> other general welfare</w:t>
      </w:r>
      <w:r>
        <w:t xml:space="preserve"> assessment </w:t>
      </w:r>
      <w:r w:rsidR="00273EC8">
        <w:t>is</w:t>
      </w:r>
      <w:r>
        <w:t xml:space="preserve"> based</w:t>
      </w:r>
      <w:r w:rsidRPr="00B01A7F">
        <w:t xml:space="preserve"> on </w:t>
      </w:r>
      <w:r>
        <w:t xml:space="preserve">the </w:t>
      </w:r>
      <w:r w:rsidRPr="002D5ECA">
        <w:t xml:space="preserve">relative proportions of State populations in the bottom </w:t>
      </w:r>
      <w:r w:rsidR="00E009E5">
        <w:t xml:space="preserve">quintile of the </w:t>
      </w:r>
      <w:r w:rsidRPr="00B01A7F">
        <w:t xml:space="preserve">ABS 2006 </w:t>
      </w:r>
      <w:r>
        <w:t>socio-economic index for individuals (</w:t>
      </w:r>
      <w:r w:rsidRPr="00B01A7F">
        <w:t>SEIFI</w:t>
      </w:r>
      <w:r>
        <w:t>),</w:t>
      </w:r>
      <w:r w:rsidRPr="002D5ECA">
        <w:t xml:space="preserve"> </w:t>
      </w:r>
      <w:r w:rsidRPr="00B01A7F">
        <w:t xml:space="preserve">adjusted for changes in the relative proportions of State populations with </w:t>
      </w:r>
      <w:r>
        <w:t>concession cards</w:t>
      </w:r>
      <w:r>
        <w:rPr>
          <w:rStyle w:val="FootnoteReference"/>
        </w:rPr>
        <w:footnoteReference w:id="1"/>
      </w:r>
      <w:r w:rsidRPr="00B01A7F">
        <w:t xml:space="preserve"> between the 2006 and 2011 Censuses</w:t>
      </w:r>
      <w:r>
        <w:t>. Cross</w:t>
      </w:r>
      <w:r w:rsidR="00F4438E">
        <w:noBreakHyphen/>
      </w:r>
      <w:r>
        <w:t>border, wage cost</w:t>
      </w:r>
      <w:r w:rsidR="00F4438E">
        <w:t>s</w:t>
      </w:r>
      <w:r>
        <w:t xml:space="preserve"> and regional cost</w:t>
      </w:r>
      <w:r w:rsidR="00F4438E">
        <w:t>s</w:t>
      </w:r>
      <w:r>
        <w:t xml:space="preserve"> influences </w:t>
      </w:r>
      <w:r w:rsidR="00273EC8">
        <w:t>are</w:t>
      </w:r>
      <w:r>
        <w:t xml:space="preserve"> taken into account.</w:t>
      </w:r>
    </w:p>
    <w:p w:rsidR="003559CF" w:rsidRDefault="00273EC8" w:rsidP="003559CF">
      <w:pPr>
        <w:pStyle w:val="CGCNumberedPara"/>
        <w:numPr>
          <w:ilvl w:val="1"/>
          <w:numId w:val="3"/>
        </w:numPr>
      </w:pPr>
      <w:r>
        <w:t>Other general welfare expenses</w:t>
      </w:r>
      <w:r w:rsidR="00F4438E">
        <w:t>, which are derived as a residual after making various adjustments to the ABS GFS expenses data,</w:t>
      </w:r>
      <w:r>
        <w:t xml:space="preserve"> </w:t>
      </w:r>
      <w:r w:rsidR="009F1730">
        <w:t>were</w:t>
      </w:r>
      <w:r>
        <w:t xml:space="preserve"> estimated to be around $0.</w:t>
      </w:r>
      <w:r w:rsidR="00506D0D">
        <w:t>5</w:t>
      </w:r>
      <w:r>
        <w:t> billion</w:t>
      </w:r>
      <w:r w:rsidR="00F4438E">
        <w:t xml:space="preserve"> in 201</w:t>
      </w:r>
      <w:r w:rsidR="00506D0D">
        <w:t>6</w:t>
      </w:r>
      <w:r w:rsidR="00F4438E">
        <w:noBreakHyphen/>
        <w:t>1</w:t>
      </w:r>
      <w:r w:rsidR="00506D0D">
        <w:t>7</w:t>
      </w:r>
      <w:r w:rsidR="003559CF">
        <w:t>.</w:t>
      </w:r>
      <w:r>
        <w:t xml:space="preserve"> </w:t>
      </w:r>
      <w:r w:rsidR="00F4438E">
        <w:t xml:space="preserve">Homelessness services account for the bulk of </w:t>
      </w:r>
      <w:r w:rsidR="006142B1">
        <w:t xml:space="preserve">expenses. State </w:t>
      </w:r>
      <w:r w:rsidR="00506D0D">
        <w:t xml:space="preserve">recurrent </w:t>
      </w:r>
      <w:r w:rsidR="006142B1">
        <w:t>expenses</w:t>
      </w:r>
      <w:r w:rsidR="00F4438E">
        <w:t xml:space="preserve"> on specialist homelessness services in 201</w:t>
      </w:r>
      <w:r w:rsidR="00506D0D">
        <w:t>6</w:t>
      </w:r>
      <w:r w:rsidR="00F4438E">
        <w:t>-1</w:t>
      </w:r>
      <w:r w:rsidR="00506D0D">
        <w:t>7</w:t>
      </w:r>
      <w:r w:rsidR="00F4438E">
        <w:t xml:space="preserve"> w</w:t>
      </w:r>
      <w:r w:rsidR="006142B1">
        <w:t>ere</w:t>
      </w:r>
      <w:r w:rsidR="00F4438E">
        <w:t xml:space="preserve"> </w:t>
      </w:r>
      <w:r w:rsidR="00F4438E" w:rsidRPr="00B603C0">
        <w:t>$</w:t>
      </w:r>
      <w:r w:rsidR="00506D0D">
        <w:t>817</w:t>
      </w:r>
      <w:r w:rsidR="00F4438E" w:rsidRPr="00B603C0">
        <w:t> million</w:t>
      </w:r>
      <w:r w:rsidR="00440E1F">
        <w:t>.</w:t>
      </w:r>
      <w:r w:rsidR="00F4438E" w:rsidRPr="00B603C0">
        <w:rPr>
          <w:rStyle w:val="FootnoteReference"/>
        </w:rPr>
        <w:footnoteReference w:id="2"/>
      </w:r>
      <w:r w:rsidR="00F4438E" w:rsidRPr="00B603C0">
        <w:t xml:space="preserve"> </w:t>
      </w:r>
      <w:r w:rsidR="00F4438E">
        <w:t>(</w:t>
      </w:r>
      <w:r w:rsidR="00440E1F">
        <w:t>I</w:t>
      </w:r>
      <w:r w:rsidR="00F4438E">
        <w:t>t may be that some States have assigned some or all of homelessness service expenses to housing</w:t>
      </w:r>
      <w:r w:rsidR="00440E1F">
        <w:t xml:space="preserve"> GPCs</w:t>
      </w:r>
      <w:r w:rsidR="00F4438E">
        <w:t xml:space="preserve">.) </w:t>
      </w:r>
    </w:p>
    <w:p w:rsidR="009D249D" w:rsidRDefault="009D249D" w:rsidP="009D249D">
      <w:pPr>
        <w:pStyle w:val="Heading5"/>
      </w:pPr>
      <w:r>
        <w:lastRenderedPageBreak/>
        <w:t>Investment and depreciation</w:t>
      </w:r>
    </w:p>
    <w:p w:rsidR="00171486" w:rsidRDefault="00814579" w:rsidP="0010505B">
      <w:pPr>
        <w:pStyle w:val="CGCNumberedPara"/>
        <w:numPr>
          <w:ilvl w:val="1"/>
          <w:numId w:val="3"/>
        </w:numPr>
      </w:pPr>
      <w:r>
        <w:t xml:space="preserve">Investment and depreciation expenses </w:t>
      </w:r>
      <w:r w:rsidR="003559CF">
        <w:t>are</w:t>
      </w:r>
      <w:r>
        <w:t xml:space="preserve"> assessed using the weighted service users of the Welfare category components</w:t>
      </w:r>
      <w:r w:rsidRPr="002D5ECA">
        <w:t>.</w:t>
      </w:r>
      <w:r>
        <w:t xml:space="preserve"> </w:t>
      </w:r>
      <w:r w:rsidRPr="00F46B46">
        <w:t>Interstate differences in wage levels, the price of materials and other unavoidable factors affecting the cost of services and infrastructure</w:t>
      </w:r>
      <w:r>
        <w:t xml:space="preserve"> </w:t>
      </w:r>
      <w:r w:rsidR="00B46D42">
        <w:t>a</w:t>
      </w:r>
      <w:r>
        <w:t>re also taken into account</w:t>
      </w:r>
      <w:r w:rsidRPr="00F46B46">
        <w:t>.</w:t>
      </w:r>
      <w:r>
        <w:t xml:space="preserve"> In addition, the investment assessment r</w:t>
      </w:r>
      <w:r w:rsidRPr="004C662B">
        <w:t>ecognise</w:t>
      </w:r>
      <w:r w:rsidR="003559CF">
        <w:t>s</w:t>
      </w:r>
      <w:r w:rsidRPr="004C662B">
        <w:t xml:space="preserve"> the impact of differences between States in population growth on the need for infrastructure. </w:t>
      </w:r>
    </w:p>
    <w:p w:rsidR="006C06CF" w:rsidRDefault="006C06CF" w:rsidP="009B7CBA">
      <w:pPr>
        <w:pStyle w:val="Heading5"/>
      </w:pPr>
      <w:r>
        <w:t xml:space="preserve">GST </w:t>
      </w:r>
      <w:r w:rsidR="00BD267E">
        <w:t>re</w:t>
      </w:r>
      <w:r>
        <w:t>distribution</w:t>
      </w:r>
    </w:p>
    <w:p w:rsidR="006C06CF" w:rsidRDefault="006C06CF" w:rsidP="006C06CF">
      <w:pPr>
        <w:pStyle w:val="CGCNumberedPara"/>
        <w:numPr>
          <w:ilvl w:val="1"/>
          <w:numId w:val="3"/>
        </w:numPr>
      </w:pPr>
      <w:r>
        <w:fldChar w:fldCharType="begin"/>
      </w:r>
      <w:r>
        <w:instrText xml:space="preserve"> REF _Ref496100394 \h </w:instrText>
      </w:r>
      <w:r>
        <w:fldChar w:fldCharType="separate"/>
      </w:r>
      <w:r w:rsidR="00835CFE">
        <w:t xml:space="preserve">Table </w:t>
      </w:r>
      <w:r w:rsidR="00835CFE">
        <w:rPr>
          <w:noProof/>
        </w:rPr>
        <w:t>6</w:t>
      </w:r>
      <w:r>
        <w:fldChar w:fldCharType="end"/>
      </w:r>
      <w:r>
        <w:t xml:space="preserve"> shows the GST </w:t>
      </w:r>
      <w:r w:rsidR="00F9073C">
        <w:t>redistributed by each component of the welfare assessment.</w:t>
      </w:r>
    </w:p>
    <w:p w:rsidR="006C06CF" w:rsidRDefault="006C06CF" w:rsidP="006C06CF">
      <w:pPr>
        <w:pStyle w:val="CGCTableHeading"/>
      </w:pPr>
      <w:bookmarkStart w:id="59" w:name="_Ref496100394"/>
      <w:r>
        <w:t xml:space="preserve">Table </w:t>
      </w:r>
      <w:r w:rsidR="00101636">
        <w:fldChar w:fldCharType="begin"/>
      </w:r>
      <w:r w:rsidR="00101636">
        <w:instrText xml:space="preserve"> SEQ Table \* ARABIC </w:instrText>
      </w:r>
      <w:r w:rsidR="00101636">
        <w:fldChar w:fldCharType="separate"/>
      </w:r>
      <w:r w:rsidR="00835CFE">
        <w:rPr>
          <w:noProof/>
        </w:rPr>
        <w:t>6</w:t>
      </w:r>
      <w:r w:rsidR="00101636">
        <w:rPr>
          <w:noProof/>
        </w:rPr>
        <w:fldChar w:fldCharType="end"/>
      </w:r>
      <w:bookmarkEnd w:id="59"/>
      <w:r>
        <w:tab/>
        <w:t xml:space="preserve">GST </w:t>
      </w:r>
      <w:r w:rsidR="00BD267E">
        <w:t>re</w:t>
      </w:r>
      <w:r>
        <w:t xml:space="preserve">distribution, </w:t>
      </w:r>
      <w:r w:rsidR="00F9073C">
        <w:t>Welfare category</w:t>
      </w:r>
    </w:p>
    <w:tbl>
      <w:tblPr>
        <w:tblW w:w="5000" w:type="pct"/>
        <w:tblCellMar>
          <w:left w:w="85" w:type="dxa"/>
          <w:right w:w="85" w:type="dxa"/>
        </w:tblCellMar>
        <w:tblLook w:val="0000" w:firstRow="0" w:lastRow="0" w:firstColumn="0" w:lastColumn="0" w:noHBand="0" w:noVBand="0"/>
      </w:tblPr>
      <w:tblGrid>
        <w:gridCol w:w="2470"/>
        <w:gridCol w:w="739"/>
        <w:gridCol w:w="739"/>
        <w:gridCol w:w="739"/>
        <w:gridCol w:w="739"/>
        <w:gridCol w:w="739"/>
        <w:gridCol w:w="739"/>
        <w:gridCol w:w="739"/>
        <w:gridCol w:w="739"/>
        <w:gridCol w:w="739"/>
      </w:tblGrid>
      <w:tr w:rsidR="006C06CF" w:rsidRPr="00FE3F73" w:rsidTr="00F54DE9">
        <w:tc>
          <w:tcPr>
            <w:tcW w:w="1354" w:type="pct"/>
            <w:tcBorders>
              <w:top w:val="single" w:sz="6" w:space="0" w:color="auto"/>
              <w:bottom w:val="single" w:sz="6" w:space="0" w:color="auto"/>
            </w:tcBorders>
            <w:vAlign w:val="bottom"/>
          </w:tcPr>
          <w:p w:rsidR="006C06CF" w:rsidRPr="00FE3F73" w:rsidRDefault="006C06CF" w:rsidP="00F54DE9">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Tas</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6C06CF" w:rsidRPr="00FE3F73" w:rsidRDefault="006C06CF" w:rsidP="00F54DE9">
            <w:pPr>
              <w:pStyle w:val="TableColHeadings"/>
              <w:rPr>
                <w:rFonts w:cstheme="minorHAnsi"/>
              </w:rPr>
            </w:pPr>
            <w:r>
              <w:rPr>
                <w:rFonts w:cstheme="minorHAnsi"/>
              </w:rPr>
              <w:t>Redist</w:t>
            </w:r>
          </w:p>
        </w:tc>
      </w:tr>
      <w:tr w:rsidR="006C06CF" w:rsidRPr="00FE3F73" w:rsidTr="00F54DE9">
        <w:tc>
          <w:tcPr>
            <w:tcW w:w="1354" w:type="pct"/>
            <w:tcMar>
              <w:top w:w="0" w:type="dxa"/>
              <w:bottom w:w="0" w:type="dxa"/>
            </w:tcMar>
            <w:vAlign w:val="bottom"/>
          </w:tcPr>
          <w:p w:rsidR="006C06CF" w:rsidRPr="00FE3F73" w:rsidRDefault="006C06CF" w:rsidP="00F54DE9">
            <w:pPr>
              <w:pStyle w:val="CGCTableStub"/>
              <w:spacing w:before="0" w:after="0" w:line="240" w:lineRule="auto"/>
              <w:jc w:val="right"/>
              <w:rPr>
                <w:rFonts w:cstheme="minorHAnsi"/>
              </w:rPr>
            </w:pP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c>
          <w:tcPr>
            <w:tcW w:w="405" w:type="pct"/>
            <w:tcMar>
              <w:top w:w="0" w:type="dxa"/>
              <w:bottom w:w="0" w:type="dxa"/>
            </w:tcMar>
            <w:vAlign w:val="bottom"/>
          </w:tcPr>
          <w:p w:rsidR="006C06CF" w:rsidRPr="00FE3F73" w:rsidRDefault="006C06CF" w:rsidP="00F54DE9">
            <w:pPr>
              <w:pStyle w:val="TableRowNormal"/>
              <w:spacing w:before="0" w:after="0" w:line="240" w:lineRule="auto"/>
              <w:ind w:left="0" w:firstLine="0"/>
              <w:rPr>
                <w:rFonts w:cstheme="minorHAnsi"/>
              </w:rPr>
            </w:pPr>
            <w:r>
              <w:rPr>
                <w:rFonts w:cstheme="minorHAnsi"/>
              </w:rPr>
              <w:t>$m</w:t>
            </w:r>
          </w:p>
        </w:tc>
      </w:tr>
      <w:tr w:rsidR="00FD6C11" w:rsidRPr="00FE3F73" w:rsidTr="00F54DE9">
        <w:tc>
          <w:tcPr>
            <w:tcW w:w="1354" w:type="pct"/>
            <w:vAlign w:val="bottom"/>
          </w:tcPr>
          <w:p w:rsidR="00FD6C11" w:rsidRPr="00FE3F73" w:rsidRDefault="00FD6C11" w:rsidP="009B7CBA">
            <w:pPr>
              <w:pStyle w:val="CGCTableStub"/>
              <w:tabs>
                <w:tab w:val="left" w:pos="142"/>
                <w:tab w:val="left" w:pos="425"/>
                <w:tab w:val="left" w:pos="709"/>
                <w:tab w:val="left" w:pos="851"/>
              </w:tabs>
              <w:spacing w:line="240" w:lineRule="auto"/>
              <w:ind w:left="142" w:hanging="142"/>
              <w:rPr>
                <w:rFonts w:cstheme="minorHAnsi"/>
              </w:rPr>
            </w:pPr>
            <w:r>
              <w:rPr>
                <w:rFonts w:cstheme="minorHAnsi"/>
              </w:rPr>
              <w:t>Family and child services</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-416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206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35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-26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34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-36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203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479 </w:t>
            </w:r>
          </w:p>
        </w:tc>
      </w:tr>
      <w:tr w:rsidR="00F9073C" w:rsidRPr="00FE3F73" w:rsidTr="00F54DE9">
        <w:tc>
          <w:tcPr>
            <w:tcW w:w="1354" w:type="pct"/>
            <w:vAlign w:val="bottom"/>
          </w:tcPr>
          <w:p w:rsidR="00F9073C" w:rsidRPr="00741FF2" w:rsidRDefault="00F9073C" w:rsidP="009B7CBA">
            <w:pPr>
              <w:keepNext/>
              <w:spacing w:before="60" w:after="60" w:line="240" w:lineRule="auto"/>
              <w:rPr>
                <w:rFonts w:ascii="Calibri" w:hAnsi="Calibri" w:cs="Calibri"/>
                <w:sz w:val="20"/>
                <w:szCs w:val="20"/>
              </w:rPr>
            </w:pPr>
            <w:r w:rsidRPr="00741FF2">
              <w:rPr>
                <w:rFonts w:ascii="Calibri" w:hAnsi="Calibri" w:cs="Calibri"/>
                <w:sz w:val="20"/>
                <w:szCs w:val="20"/>
              </w:rPr>
              <w:t>Aged care services</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c>
          <w:tcPr>
            <w:tcW w:w="405" w:type="pct"/>
            <w:vAlign w:val="bottom"/>
          </w:tcPr>
          <w:p w:rsidR="00F9073C" w:rsidRPr="00F9073C" w:rsidRDefault="00F9073C" w:rsidP="009B7CBA">
            <w:pPr>
              <w:pStyle w:val="TableRowNormal"/>
              <w:spacing w:line="240" w:lineRule="auto"/>
              <w:ind w:left="0" w:firstLine="0"/>
              <w:rPr>
                <w:rFonts w:cstheme="minorHAnsi"/>
              </w:rPr>
            </w:pPr>
            <w:r w:rsidRPr="00F9073C">
              <w:rPr>
                <w:rFonts w:cstheme="minorHAnsi"/>
              </w:rPr>
              <w:t>0</w:t>
            </w:r>
          </w:p>
        </w:tc>
      </w:tr>
      <w:tr w:rsidR="00FD6C11" w:rsidRPr="00FE3F73" w:rsidTr="00F9073C">
        <w:tc>
          <w:tcPr>
            <w:tcW w:w="1354" w:type="pct"/>
            <w:vAlign w:val="bottom"/>
          </w:tcPr>
          <w:p w:rsidR="00FD6C11" w:rsidRPr="00741FF2" w:rsidRDefault="00FD6C11" w:rsidP="009B7CBA">
            <w:pPr>
              <w:keepNext/>
              <w:spacing w:before="60" w:after="60" w:line="240" w:lineRule="auto"/>
              <w:rPr>
                <w:rFonts w:ascii="Calibri" w:hAnsi="Calibri" w:cs="Calibri"/>
                <w:sz w:val="20"/>
                <w:szCs w:val="20"/>
              </w:rPr>
            </w:pPr>
            <w:r>
              <w:rPr>
                <w:rFonts w:ascii="Calibri" w:hAnsi="Calibri" w:cs="Calibri"/>
                <w:sz w:val="20"/>
                <w:szCs w:val="20"/>
              </w:rPr>
              <w:t>NDIS d</w:t>
            </w:r>
            <w:r w:rsidRPr="00741FF2">
              <w:rPr>
                <w:rFonts w:ascii="Calibri" w:hAnsi="Calibri" w:cs="Calibri"/>
                <w:sz w:val="20"/>
                <w:szCs w:val="20"/>
              </w:rPr>
              <w:t>isability services</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15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-150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51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0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29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23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-6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37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156 </w:t>
            </w:r>
          </w:p>
        </w:tc>
      </w:tr>
      <w:tr w:rsidR="00FD6C11" w:rsidRPr="00FE3F73" w:rsidTr="00F9073C">
        <w:tc>
          <w:tcPr>
            <w:tcW w:w="1354" w:type="pct"/>
            <w:vAlign w:val="bottom"/>
          </w:tcPr>
          <w:p w:rsidR="00FD6C11" w:rsidRPr="00741FF2" w:rsidRDefault="00FD6C11" w:rsidP="009B7CBA">
            <w:pPr>
              <w:keepNext/>
              <w:spacing w:before="60" w:after="60" w:line="240" w:lineRule="auto"/>
              <w:rPr>
                <w:rFonts w:ascii="Calibri" w:hAnsi="Calibri" w:cs="Calibri"/>
                <w:sz w:val="20"/>
                <w:szCs w:val="20"/>
              </w:rPr>
            </w:pPr>
            <w:r>
              <w:rPr>
                <w:rFonts w:ascii="Calibri" w:hAnsi="Calibri" w:cs="Calibri"/>
                <w:sz w:val="20"/>
                <w:szCs w:val="20"/>
              </w:rPr>
              <w:t>Existing d</w:t>
            </w:r>
            <w:r w:rsidRPr="00741FF2">
              <w:rPr>
                <w:rFonts w:ascii="Calibri" w:hAnsi="Calibri" w:cs="Calibri"/>
                <w:sz w:val="20"/>
                <w:szCs w:val="20"/>
              </w:rPr>
              <w:t>isability services</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-36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12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5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5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5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0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12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39 </w:t>
            </w:r>
          </w:p>
        </w:tc>
      </w:tr>
      <w:tr w:rsidR="00FD6C11" w:rsidRPr="00FE3F73" w:rsidTr="00F9073C">
        <w:tc>
          <w:tcPr>
            <w:tcW w:w="1354" w:type="pct"/>
            <w:vAlign w:val="bottom"/>
          </w:tcPr>
          <w:p w:rsidR="00FD6C11" w:rsidRPr="00741FF2" w:rsidRDefault="00FD6C11" w:rsidP="009B7CBA">
            <w:pPr>
              <w:keepNext/>
              <w:spacing w:before="60" w:after="60" w:line="240" w:lineRule="auto"/>
              <w:rPr>
                <w:rFonts w:ascii="Calibri" w:hAnsi="Calibri" w:cs="Calibri"/>
                <w:sz w:val="20"/>
                <w:szCs w:val="20"/>
              </w:rPr>
            </w:pPr>
            <w:r>
              <w:rPr>
                <w:rFonts w:ascii="Calibri" w:hAnsi="Calibri" w:cs="Calibri"/>
                <w:sz w:val="20"/>
                <w:szCs w:val="20"/>
              </w:rPr>
              <w:t>Concessions</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-9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5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13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-39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31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18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-15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-4 </w:t>
            </w:r>
          </w:p>
        </w:tc>
        <w:tc>
          <w:tcPr>
            <w:tcW w:w="405" w:type="pct"/>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66 </w:t>
            </w:r>
          </w:p>
        </w:tc>
      </w:tr>
      <w:tr w:rsidR="00FD6C11" w:rsidRPr="00FE3F73" w:rsidTr="00F9073C">
        <w:tc>
          <w:tcPr>
            <w:tcW w:w="1354" w:type="pct"/>
            <w:vAlign w:val="bottom"/>
          </w:tcPr>
          <w:p w:rsidR="00FD6C11" w:rsidRDefault="00FD6C11" w:rsidP="009B7CBA">
            <w:pPr>
              <w:keepNext/>
              <w:spacing w:before="60" w:after="60" w:line="240" w:lineRule="auto"/>
              <w:rPr>
                <w:rFonts w:ascii="Calibri" w:hAnsi="Calibri" w:cs="Calibri"/>
                <w:sz w:val="20"/>
                <w:szCs w:val="20"/>
              </w:rPr>
            </w:pPr>
            <w:r>
              <w:rPr>
                <w:rFonts w:ascii="Calibri" w:hAnsi="Calibri" w:cs="Calibri"/>
                <w:sz w:val="20"/>
                <w:szCs w:val="20"/>
              </w:rPr>
              <w:t>Other general welfare</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-10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4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-10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9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5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-3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4 </w:t>
            </w:r>
          </w:p>
        </w:tc>
        <w:tc>
          <w:tcPr>
            <w:tcW w:w="405" w:type="pct"/>
            <w:tcBorders>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23 </w:t>
            </w:r>
          </w:p>
        </w:tc>
      </w:tr>
      <w:tr w:rsidR="00FD6C11" w:rsidRPr="00FE3F73" w:rsidTr="00F9073C">
        <w:tc>
          <w:tcPr>
            <w:tcW w:w="1354" w:type="pct"/>
            <w:tcBorders>
              <w:bottom w:val="single" w:sz="4" w:space="0" w:color="auto"/>
            </w:tcBorders>
            <w:vAlign w:val="bottom"/>
          </w:tcPr>
          <w:p w:rsidR="00FD6C11" w:rsidRPr="00741FF2" w:rsidRDefault="00FD6C11" w:rsidP="009B7CBA">
            <w:pPr>
              <w:keepNext/>
              <w:spacing w:before="60" w:after="60" w:line="240" w:lineRule="auto"/>
              <w:rPr>
                <w:rFonts w:ascii="Calibri" w:hAnsi="Calibri" w:cs="Calibri"/>
                <w:sz w:val="20"/>
                <w:szCs w:val="20"/>
              </w:rPr>
            </w:pPr>
            <w:r w:rsidRPr="00741FF2">
              <w:rPr>
                <w:rFonts w:ascii="Calibri" w:hAnsi="Calibri" w:cs="Calibri"/>
                <w:sz w:val="20"/>
                <w:szCs w:val="20"/>
              </w:rPr>
              <w:t>Total</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5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-607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286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-9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48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86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-61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253 </w:t>
            </w:r>
          </w:p>
        </w:tc>
        <w:tc>
          <w:tcPr>
            <w:tcW w:w="405" w:type="pct"/>
            <w:tcBorders>
              <w:top w:val="single" w:sz="4" w:space="0" w:color="auto"/>
              <w:bottom w:val="single" w:sz="4" w:space="0" w:color="auto"/>
            </w:tcBorders>
            <w:vAlign w:val="bottom"/>
          </w:tcPr>
          <w:p w:rsidR="00FD6C11" w:rsidRDefault="00FD6C11" w:rsidP="009B7CBA">
            <w:pPr>
              <w:spacing w:before="60" w:after="60" w:line="240" w:lineRule="auto"/>
              <w:jc w:val="right"/>
              <w:rPr>
                <w:rFonts w:ascii="Calibri" w:hAnsi="Calibri"/>
                <w:sz w:val="20"/>
                <w:szCs w:val="20"/>
              </w:rPr>
            </w:pPr>
            <w:r>
              <w:rPr>
                <w:rFonts w:ascii="Calibri" w:hAnsi="Calibri"/>
                <w:sz w:val="20"/>
                <w:szCs w:val="20"/>
              </w:rPr>
              <w:t xml:space="preserve">677 </w:t>
            </w:r>
          </w:p>
        </w:tc>
      </w:tr>
    </w:tbl>
    <w:p w:rsidR="006C06CF" w:rsidRDefault="006C06CF" w:rsidP="006C06CF">
      <w:pPr>
        <w:pStyle w:val="CGCTableFootnote"/>
      </w:pPr>
      <w:r>
        <w:t>Source:</w:t>
      </w:r>
      <w:r>
        <w:tab/>
        <w:t>201</w:t>
      </w:r>
      <w:r w:rsidR="00FD6C11">
        <w:t>8</w:t>
      </w:r>
      <w:r>
        <w:t xml:space="preserve"> Update.</w:t>
      </w:r>
    </w:p>
    <w:p w:rsidR="0010505B" w:rsidRDefault="00852A1B" w:rsidP="0010505B">
      <w:pPr>
        <w:pStyle w:val="Heading3"/>
      </w:pPr>
      <w:bookmarkStart w:id="60" w:name="_Toc511036006"/>
      <w:bookmarkStart w:id="61" w:name="_Toc511813731"/>
      <w:bookmarkStart w:id="62" w:name="_Toc511813746"/>
      <w:bookmarkStart w:id="63" w:name="_Toc511813827"/>
      <w:bookmarkStart w:id="64" w:name="_Toc511813921"/>
      <w:bookmarkStart w:id="65" w:name="_Toc511814007"/>
      <w:bookmarkStart w:id="66" w:name="_Toc511816536"/>
      <w:bookmarkStart w:id="67" w:name="_Toc511816551"/>
      <w:r>
        <w:t>I</w:t>
      </w:r>
      <w:r w:rsidR="0049795A">
        <w:t>SSUES AND ANALYSIS</w:t>
      </w:r>
      <w:bookmarkEnd w:id="60"/>
      <w:bookmarkEnd w:id="61"/>
      <w:bookmarkEnd w:id="62"/>
      <w:bookmarkEnd w:id="63"/>
      <w:bookmarkEnd w:id="64"/>
      <w:bookmarkEnd w:id="65"/>
      <w:bookmarkEnd w:id="66"/>
      <w:bookmarkEnd w:id="67"/>
    </w:p>
    <w:p w:rsidR="0010505B" w:rsidRPr="00741FF2" w:rsidRDefault="0010505B" w:rsidP="00C3140C">
      <w:pPr>
        <w:pStyle w:val="Heading4"/>
      </w:pPr>
      <w:bookmarkStart w:id="68" w:name="_Toc511036007"/>
      <w:bookmarkStart w:id="69" w:name="_Toc511813732"/>
      <w:bookmarkStart w:id="70" w:name="_Toc511813747"/>
      <w:bookmarkStart w:id="71" w:name="_Toc511813828"/>
      <w:bookmarkStart w:id="72" w:name="_Toc511813922"/>
      <w:bookmarkStart w:id="73" w:name="_Toc511814008"/>
      <w:bookmarkStart w:id="74" w:name="_Toc511816537"/>
      <w:bookmarkStart w:id="75" w:name="_Toc511816552"/>
      <w:r w:rsidRPr="00741FF2">
        <w:t>Family and child services</w:t>
      </w:r>
      <w:bookmarkEnd w:id="68"/>
      <w:bookmarkEnd w:id="69"/>
      <w:bookmarkEnd w:id="70"/>
      <w:bookmarkEnd w:id="71"/>
      <w:bookmarkEnd w:id="72"/>
      <w:bookmarkEnd w:id="73"/>
      <w:bookmarkEnd w:id="74"/>
      <w:bookmarkEnd w:id="75"/>
    </w:p>
    <w:p w:rsidR="009E4E62" w:rsidRDefault="000B6426" w:rsidP="00104D07">
      <w:pPr>
        <w:pStyle w:val="CGCNumberedPara"/>
        <w:numPr>
          <w:ilvl w:val="1"/>
          <w:numId w:val="3"/>
        </w:numPr>
      </w:pPr>
      <w:r>
        <w:t>Staff</w:t>
      </w:r>
      <w:r w:rsidR="00AF25ED">
        <w:t xml:space="preserve"> consider the </w:t>
      </w:r>
      <w:r w:rsidR="008A4261">
        <w:t xml:space="preserve">current </w:t>
      </w:r>
      <w:r w:rsidR="00AF25ED">
        <w:t xml:space="preserve">assessment approach remains appropriate. </w:t>
      </w:r>
      <w:r w:rsidR="009E4E62">
        <w:t>The significance of the identified drivers can be gauged from</w:t>
      </w:r>
      <w:r w:rsidR="0087572F">
        <w:t xml:space="preserve"> the following statistics for Australia for 2015</w:t>
      </w:r>
      <w:r w:rsidR="0087572F">
        <w:noBreakHyphen/>
        <w:t>16</w:t>
      </w:r>
      <w:r w:rsidR="00214C19">
        <w:t>.</w:t>
      </w:r>
    </w:p>
    <w:p w:rsidR="009E4E62" w:rsidRDefault="009E4E62" w:rsidP="0072498B">
      <w:pPr>
        <w:pStyle w:val="CGCBulletlist"/>
      </w:pPr>
      <w:r>
        <w:t xml:space="preserve">Indigenous children were seven times as likely as non-Indigenous children to have received child protection services and </w:t>
      </w:r>
      <w:r w:rsidR="00E049DB">
        <w:t>ten</w:t>
      </w:r>
      <w:r>
        <w:t xml:space="preserve"> times as likely as non</w:t>
      </w:r>
      <w:r w:rsidR="001076A4">
        <w:noBreakHyphen/>
      </w:r>
      <w:r>
        <w:t xml:space="preserve">Indigenous children to </w:t>
      </w:r>
      <w:r w:rsidR="00E049DB">
        <w:t xml:space="preserve">be </w:t>
      </w:r>
      <w:r w:rsidR="00E049DB" w:rsidRPr="00E049DB">
        <w:t>in out-of-home care</w:t>
      </w:r>
      <w:r w:rsidR="00214C19">
        <w:t>.</w:t>
      </w:r>
      <w:r>
        <w:rPr>
          <w:rStyle w:val="FootnoteReference"/>
        </w:rPr>
        <w:footnoteReference w:id="3"/>
      </w:r>
      <w:r>
        <w:t xml:space="preserve"> </w:t>
      </w:r>
    </w:p>
    <w:p w:rsidR="009E4E62" w:rsidRDefault="00214C19" w:rsidP="0072498B">
      <w:pPr>
        <w:pStyle w:val="CGCBulletlist"/>
      </w:pPr>
      <w:r>
        <w:t xml:space="preserve">Children </w:t>
      </w:r>
      <w:r w:rsidR="00E049DB">
        <w:t xml:space="preserve">from very remote areas were four times as likely as those from major cities to be the subject of a </w:t>
      </w:r>
      <w:r w:rsidR="00C970A4">
        <w:t>‘</w:t>
      </w:r>
      <w:r w:rsidR="00E049DB">
        <w:t>substantiation</w:t>
      </w:r>
      <w:r w:rsidR="00C970A4">
        <w:t>’</w:t>
      </w:r>
      <w:r w:rsidR="00E049DB">
        <w:rPr>
          <w:rStyle w:val="FootnoteReference"/>
        </w:rPr>
        <w:footnoteReference w:id="4"/>
      </w:r>
      <w:r w:rsidR="00E049DB">
        <w:t xml:space="preserve"> (</w:t>
      </w:r>
      <w:r w:rsidR="003354FE">
        <w:t>this largely reflects</w:t>
      </w:r>
      <w:r w:rsidR="00E049DB">
        <w:t xml:space="preserve"> </w:t>
      </w:r>
      <w:r w:rsidR="003354FE">
        <w:t xml:space="preserve">large numbers </w:t>
      </w:r>
      <w:r w:rsidR="003354FE">
        <w:lastRenderedPageBreak/>
        <w:t>of</w:t>
      </w:r>
      <w:r w:rsidR="00E049DB">
        <w:t xml:space="preserve"> Indigenous </w:t>
      </w:r>
      <w:r w:rsidR="003354FE">
        <w:t>substantiations in remote areas</w:t>
      </w:r>
      <w:r w:rsidR="005C7935">
        <w:t xml:space="preserve"> which Commission</w:t>
      </w:r>
      <w:r w:rsidR="00026410">
        <w:t xml:space="preserve"> calculations </w:t>
      </w:r>
      <w:r w:rsidR="00F533A9">
        <w:t>show</w:t>
      </w:r>
      <w:r w:rsidR="00026410">
        <w:t xml:space="preserve"> </w:t>
      </w:r>
      <w:r w:rsidR="005C7935">
        <w:t>are</w:t>
      </w:r>
      <w:r w:rsidR="0087572F">
        <w:t xml:space="preserve"> 14% higher than Indigenous substantiations in non-remote areas</w:t>
      </w:r>
      <w:r w:rsidR="00E049DB">
        <w:t>)</w:t>
      </w:r>
      <w:r>
        <w:t>.</w:t>
      </w:r>
    </w:p>
    <w:p w:rsidR="009E4E62" w:rsidRDefault="00214C19" w:rsidP="0072498B">
      <w:pPr>
        <w:pStyle w:val="CGCBulletlist"/>
      </w:pPr>
      <w:r>
        <w:t xml:space="preserve">Children </w:t>
      </w:r>
      <w:r w:rsidR="0087572F">
        <w:t>who were the subject of a substantiation were around five times as likely to be from the lowest socio-economic areas compared to the highest</w:t>
      </w:r>
      <w:r w:rsidR="007B7965">
        <w:rPr>
          <w:rStyle w:val="FootnoteReference"/>
        </w:rPr>
        <w:footnoteReference w:id="5"/>
      </w:r>
      <w:r w:rsidR="007B7965">
        <w:t xml:space="preserve"> (the divergence is more marked for non-Indigenous children, </w:t>
      </w:r>
      <w:r w:rsidR="00184EBE">
        <w:t xml:space="preserve">for whom </w:t>
      </w:r>
      <w:r w:rsidR="007B7965">
        <w:t xml:space="preserve">substantiations in </w:t>
      </w:r>
      <w:r w:rsidR="00184EBE">
        <w:t xml:space="preserve">the bottom two </w:t>
      </w:r>
      <w:r w:rsidR="00184EBE" w:rsidRPr="00184EBE">
        <w:t xml:space="preserve">NISEIFA </w:t>
      </w:r>
      <w:r w:rsidR="00184EBE">
        <w:t xml:space="preserve">quintiles </w:t>
      </w:r>
      <w:r w:rsidR="007B7965">
        <w:t xml:space="preserve">was </w:t>
      </w:r>
      <w:r w:rsidR="00184EBE">
        <w:t>more than twice as high as those in the top three quintiles)</w:t>
      </w:r>
      <w:r w:rsidR="009E4E62">
        <w:t>.</w:t>
      </w:r>
    </w:p>
    <w:p w:rsidR="00104D07" w:rsidRDefault="006A6ED1" w:rsidP="00104D07">
      <w:pPr>
        <w:pStyle w:val="CGCNumberedPara"/>
        <w:numPr>
          <w:ilvl w:val="1"/>
          <w:numId w:val="3"/>
        </w:numPr>
      </w:pPr>
      <w:r>
        <w:t xml:space="preserve">If data </w:t>
      </w:r>
      <w:r w:rsidR="00B46D42">
        <w:t xml:space="preserve">from New South Wales disaggregated by SES and region </w:t>
      </w:r>
      <w:r>
        <w:t xml:space="preserve">become available in the coming years, </w:t>
      </w:r>
      <w:r w:rsidR="000B6426">
        <w:t>staff</w:t>
      </w:r>
      <w:r>
        <w:t xml:space="preserve"> will integrate them in</w:t>
      </w:r>
      <w:r w:rsidR="0016351F">
        <w:t>to</w:t>
      </w:r>
      <w:r>
        <w:t xml:space="preserve"> the assessment. </w:t>
      </w:r>
      <w:r w:rsidR="00104D07">
        <w:t xml:space="preserve">The AIHW is </w:t>
      </w:r>
      <w:r w:rsidR="00D50174">
        <w:t xml:space="preserve">also </w:t>
      </w:r>
      <w:r w:rsidR="00104D07">
        <w:t xml:space="preserve">trying to progress a </w:t>
      </w:r>
      <w:r w:rsidR="001076A4">
        <w:t>cultural and linguistic diversity (</w:t>
      </w:r>
      <w:r w:rsidR="00104D07">
        <w:t>CALD</w:t>
      </w:r>
      <w:r w:rsidR="001076A4">
        <w:t>)</w:t>
      </w:r>
      <w:r w:rsidR="00104D07">
        <w:t xml:space="preserve"> and disability dimension in their </w:t>
      </w:r>
      <w:r w:rsidR="00D50174">
        <w:t xml:space="preserve">unit record </w:t>
      </w:r>
      <w:r w:rsidR="00104D07">
        <w:t>data, with extra impetus from the recent Senate inquiry into out</w:t>
      </w:r>
      <w:r w:rsidR="0016351F">
        <w:t>-</w:t>
      </w:r>
      <w:r w:rsidR="00104D07">
        <w:t>of</w:t>
      </w:r>
      <w:r w:rsidR="0016351F">
        <w:t>-</w:t>
      </w:r>
      <w:r w:rsidR="00104D07">
        <w:t>home care</w:t>
      </w:r>
      <w:r w:rsidR="00026410">
        <w:t>.</w:t>
      </w:r>
      <w:r w:rsidR="00104D07">
        <w:rPr>
          <w:rStyle w:val="FootnoteReference"/>
        </w:rPr>
        <w:footnoteReference w:id="6"/>
      </w:r>
      <w:r w:rsidR="00104D07">
        <w:t xml:space="preserve"> If data were to become available</w:t>
      </w:r>
      <w:r w:rsidR="00120A72" w:rsidRPr="00120A72">
        <w:t xml:space="preserve"> </w:t>
      </w:r>
      <w:r w:rsidR="00120A72">
        <w:t>in due course</w:t>
      </w:r>
      <w:r w:rsidR="00104D07">
        <w:t xml:space="preserve">, we could look into </w:t>
      </w:r>
      <w:r w:rsidR="0016351F">
        <w:t xml:space="preserve">the case for </w:t>
      </w:r>
      <w:r w:rsidR="00104D07">
        <w:t>incorporat</w:t>
      </w:r>
      <w:r w:rsidR="0016351F">
        <w:t>ing</w:t>
      </w:r>
      <w:r w:rsidR="00104D07">
        <w:t xml:space="preserve"> extra disabilities. A CALD measure could be the preferred language spoken at home or maybe parent country of birth, but we would also need to get a satisfactory measure of CALD/non</w:t>
      </w:r>
      <w:r w:rsidR="008A4261">
        <w:noBreakHyphen/>
      </w:r>
      <w:r w:rsidR="00104D07">
        <w:t>CALD costs.</w:t>
      </w:r>
    </w:p>
    <w:p w:rsidR="00045347" w:rsidRDefault="00045347"/>
    <w:tbl>
      <w:tblPr>
        <w:tblStyle w:val="TableGrid"/>
        <w:tblW w:w="0" w:type="auto"/>
        <w:tblLook w:val="04A0" w:firstRow="1" w:lastRow="0" w:firstColumn="1" w:lastColumn="0" w:noHBand="0" w:noVBand="1"/>
      </w:tblPr>
      <w:tblGrid>
        <w:gridCol w:w="9167"/>
      </w:tblGrid>
      <w:tr w:rsidR="00205564" w:rsidTr="00205564">
        <w:tc>
          <w:tcPr>
            <w:tcW w:w="9167" w:type="dxa"/>
            <w:tcBorders>
              <w:top w:val="nil"/>
              <w:left w:val="nil"/>
              <w:bottom w:val="nil"/>
              <w:right w:val="nil"/>
            </w:tcBorders>
            <w:shd w:val="clear" w:color="auto" w:fill="D9F3E6"/>
          </w:tcPr>
          <w:p w:rsidR="00205564" w:rsidRDefault="00205564" w:rsidP="00CF1608">
            <w:pPr>
              <w:keepNext/>
            </w:pPr>
            <w:r w:rsidRPr="00205564">
              <w:t>Staff propose to recommend the Commission:</w:t>
            </w:r>
          </w:p>
          <w:p w:rsidR="00205564" w:rsidRDefault="00205564" w:rsidP="0072498B">
            <w:pPr>
              <w:pStyle w:val="CGCBulletlist"/>
            </w:pPr>
            <w:r>
              <w:t xml:space="preserve">retain the current assessment methodology for family and child services but </w:t>
            </w:r>
            <w:r>
              <w:rPr>
                <w:lang w:val="en"/>
              </w:rPr>
              <w:t xml:space="preserve">stay in contact with the AIHW on developments concerning their </w:t>
            </w:r>
            <w:r>
              <w:t>unit record database</w:t>
            </w:r>
            <w:r>
              <w:rPr>
                <w:lang w:val="en"/>
              </w:rPr>
              <w:t xml:space="preserve">, including whether data might become available for New South Wales and a possible CALD </w:t>
            </w:r>
            <w:r w:rsidR="00844A03">
              <w:rPr>
                <w:lang w:val="en"/>
              </w:rPr>
              <w:t>and</w:t>
            </w:r>
            <w:r w:rsidR="007A4AA6">
              <w:rPr>
                <w:lang w:val="en"/>
              </w:rPr>
              <w:t>/or</w:t>
            </w:r>
            <w:r w:rsidR="00844A03">
              <w:rPr>
                <w:lang w:val="en"/>
              </w:rPr>
              <w:t xml:space="preserve"> disability </w:t>
            </w:r>
            <w:r>
              <w:rPr>
                <w:lang w:val="en"/>
              </w:rPr>
              <w:t>measure</w:t>
            </w:r>
            <w:r w:rsidRPr="00741FF2">
              <w:t>.</w:t>
            </w:r>
          </w:p>
        </w:tc>
      </w:tr>
    </w:tbl>
    <w:p w:rsidR="00214C19" w:rsidRDefault="00214C19" w:rsidP="00225D78"/>
    <w:p w:rsidR="00571491" w:rsidRPr="000921A0" w:rsidRDefault="00571491" w:rsidP="00C3140C">
      <w:pPr>
        <w:pStyle w:val="Heading4"/>
      </w:pPr>
      <w:bookmarkStart w:id="76" w:name="_Toc511036008"/>
      <w:bookmarkStart w:id="77" w:name="_Toc511813733"/>
      <w:bookmarkStart w:id="78" w:name="_Toc511813748"/>
      <w:bookmarkStart w:id="79" w:name="_Toc511813829"/>
      <w:bookmarkStart w:id="80" w:name="_Toc511813923"/>
      <w:bookmarkStart w:id="81" w:name="_Toc511814009"/>
      <w:bookmarkStart w:id="82" w:name="_Toc511816538"/>
      <w:bookmarkStart w:id="83" w:name="_Toc511816553"/>
      <w:r w:rsidRPr="000921A0">
        <w:t>Aged care</w:t>
      </w:r>
      <w:bookmarkEnd w:id="76"/>
      <w:bookmarkEnd w:id="77"/>
      <w:bookmarkEnd w:id="78"/>
      <w:bookmarkEnd w:id="79"/>
      <w:bookmarkEnd w:id="80"/>
      <w:bookmarkEnd w:id="81"/>
      <w:bookmarkEnd w:id="82"/>
      <w:bookmarkEnd w:id="83"/>
    </w:p>
    <w:p w:rsidR="00FC6B19" w:rsidRDefault="009D50A1" w:rsidP="00FC6B19">
      <w:pPr>
        <w:pStyle w:val="CGCNumberedPara"/>
        <w:numPr>
          <w:ilvl w:val="1"/>
          <w:numId w:val="3"/>
        </w:numPr>
      </w:pPr>
      <w:r w:rsidRPr="005E041C">
        <w:rPr>
          <w:lang w:val="en"/>
        </w:rPr>
        <w:t xml:space="preserve">With HACC </w:t>
      </w:r>
      <w:r w:rsidR="007A4AA6">
        <w:rPr>
          <w:lang w:val="en"/>
        </w:rPr>
        <w:t xml:space="preserve">and </w:t>
      </w:r>
      <w:r w:rsidR="007A4AA6">
        <w:t xml:space="preserve">specialist disability services </w:t>
      </w:r>
      <w:r>
        <w:rPr>
          <w:lang w:val="en"/>
        </w:rPr>
        <w:t xml:space="preserve">for </w:t>
      </w:r>
      <w:r w:rsidR="007A4AA6">
        <w:rPr>
          <w:lang w:val="en"/>
        </w:rPr>
        <w:t>o</w:t>
      </w:r>
      <w:r>
        <w:rPr>
          <w:lang w:val="en"/>
        </w:rPr>
        <w:t xml:space="preserve">lder </w:t>
      </w:r>
      <w:r w:rsidR="007A4AA6">
        <w:rPr>
          <w:lang w:val="en"/>
        </w:rPr>
        <w:t>p</w:t>
      </w:r>
      <w:r>
        <w:rPr>
          <w:lang w:val="en"/>
        </w:rPr>
        <w:t xml:space="preserve">eople </w:t>
      </w:r>
      <w:r w:rsidRPr="005E041C">
        <w:rPr>
          <w:lang w:val="en"/>
        </w:rPr>
        <w:t xml:space="preserve">no longer a </w:t>
      </w:r>
      <w:r w:rsidR="007A4AA6">
        <w:rPr>
          <w:lang w:val="en"/>
        </w:rPr>
        <w:t xml:space="preserve">State </w:t>
      </w:r>
      <w:r w:rsidRPr="005E041C">
        <w:rPr>
          <w:lang w:val="en"/>
        </w:rPr>
        <w:t>responsibility in Victoria and, imminently, Western Australia</w:t>
      </w:r>
      <w:r>
        <w:rPr>
          <w:lang w:val="en"/>
        </w:rPr>
        <w:t xml:space="preserve">, </w:t>
      </w:r>
      <w:r w:rsidR="000B6426">
        <w:rPr>
          <w:lang w:val="en"/>
        </w:rPr>
        <w:t>staff</w:t>
      </w:r>
      <w:r w:rsidR="002C6977">
        <w:rPr>
          <w:lang w:val="en"/>
        </w:rPr>
        <w:t xml:space="preserve"> </w:t>
      </w:r>
      <w:r>
        <w:t>expect net expenses to be small by 2020</w:t>
      </w:r>
      <w:r>
        <w:noBreakHyphen/>
        <w:t>21</w:t>
      </w:r>
      <w:r w:rsidR="00BB0682">
        <w:t>, the application year of the 2020 Review</w:t>
      </w:r>
      <w:r>
        <w:t xml:space="preserve">. </w:t>
      </w:r>
      <w:r w:rsidR="000B6426">
        <w:t xml:space="preserve">The </w:t>
      </w:r>
      <w:r w:rsidR="002C6977">
        <w:t xml:space="preserve">aged care component </w:t>
      </w:r>
      <w:r w:rsidR="000B6426">
        <w:t xml:space="preserve">could be retained </w:t>
      </w:r>
      <w:r w:rsidR="002C6977">
        <w:t xml:space="preserve">and the expenses </w:t>
      </w:r>
      <w:r w:rsidR="000B6426">
        <w:t xml:space="preserve">assessed </w:t>
      </w:r>
      <w:r w:rsidR="002C6977">
        <w:t xml:space="preserve">EPC. However, </w:t>
      </w:r>
      <w:r w:rsidR="000554BA">
        <w:t xml:space="preserve">for simplicity, </w:t>
      </w:r>
      <w:r w:rsidR="002C6977">
        <w:t xml:space="preserve">staff would prefer </w:t>
      </w:r>
      <w:r w:rsidR="0013729B">
        <w:t>to merge</w:t>
      </w:r>
      <w:r w:rsidR="002C6977">
        <w:t xml:space="preserve"> the expenses with </w:t>
      </w:r>
      <w:r w:rsidR="005926EC" w:rsidRPr="0072498B">
        <w:t>other general welfare</w:t>
      </w:r>
      <w:r w:rsidR="005926EC">
        <w:t xml:space="preserve"> expenses and assess them using a general low socio-economic </w:t>
      </w:r>
      <w:r w:rsidR="00E3583E">
        <w:t xml:space="preserve">status (SES) </w:t>
      </w:r>
      <w:r w:rsidR="005926EC">
        <w:t>measure.</w:t>
      </w:r>
    </w:p>
    <w:p w:rsidR="00835CFE" w:rsidRDefault="00835CFE">
      <w:pPr>
        <w:tabs>
          <w:tab w:val="clear" w:pos="567"/>
        </w:tabs>
        <w:spacing w:after="200" w:line="276" w:lineRule="auto"/>
        <w:rPr>
          <w:u w:val="single"/>
        </w:rPr>
      </w:pPr>
      <w:r>
        <w:rPr>
          <w:u w:val="single"/>
        </w:rPr>
        <w:br w:type="page"/>
      </w:r>
    </w:p>
    <w:tbl>
      <w:tblPr>
        <w:tblStyle w:val="TableGrid"/>
        <w:tblW w:w="0" w:type="auto"/>
        <w:tblLook w:val="04A0" w:firstRow="1" w:lastRow="0" w:firstColumn="1" w:lastColumn="0" w:noHBand="0" w:noVBand="1"/>
      </w:tblPr>
      <w:tblGrid>
        <w:gridCol w:w="9167"/>
      </w:tblGrid>
      <w:tr w:rsidR="00205564" w:rsidTr="00205564">
        <w:tc>
          <w:tcPr>
            <w:tcW w:w="9167" w:type="dxa"/>
            <w:tcBorders>
              <w:top w:val="nil"/>
              <w:left w:val="nil"/>
              <w:bottom w:val="nil"/>
              <w:right w:val="nil"/>
            </w:tcBorders>
            <w:shd w:val="clear" w:color="auto" w:fill="D9F3E6"/>
          </w:tcPr>
          <w:p w:rsidR="00205564" w:rsidRDefault="00205564" w:rsidP="00205564">
            <w:r w:rsidRPr="00741FF2">
              <w:lastRenderedPageBreak/>
              <w:t xml:space="preserve">Staff propose to recommend the </w:t>
            </w:r>
            <w:r>
              <w:t>C</w:t>
            </w:r>
            <w:r w:rsidRPr="00741FF2">
              <w:t>ommission:</w:t>
            </w:r>
          </w:p>
          <w:p w:rsidR="00205564" w:rsidRDefault="005926EC" w:rsidP="00314093">
            <w:pPr>
              <w:pStyle w:val="CGCBulletlist"/>
            </w:pPr>
            <w:r>
              <w:t xml:space="preserve">merge States’ residual aged care expenses with </w:t>
            </w:r>
            <w:r w:rsidR="00F54DE9">
              <w:t xml:space="preserve">other </w:t>
            </w:r>
            <w:r>
              <w:t xml:space="preserve">general welfare expenses and assess them using a general low </w:t>
            </w:r>
            <w:r w:rsidR="00E3583E">
              <w:t>SES</w:t>
            </w:r>
            <w:r>
              <w:t xml:space="preserve"> measure</w:t>
            </w:r>
            <w:r w:rsidR="00205564" w:rsidRPr="0072498B">
              <w:t>.</w:t>
            </w:r>
          </w:p>
        </w:tc>
      </w:tr>
    </w:tbl>
    <w:p w:rsidR="00EE156F" w:rsidRPr="000921A0" w:rsidRDefault="00EE156F" w:rsidP="00C3140C">
      <w:pPr>
        <w:pStyle w:val="Heading4"/>
      </w:pPr>
      <w:bookmarkStart w:id="84" w:name="_Toc511036009"/>
      <w:bookmarkStart w:id="85" w:name="_Toc511813734"/>
      <w:bookmarkStart w:id="86" w:name="_Toc511813749"/>
      <w:bookmarkStart w:id="87" w:name="_Toc511813830"/>
      <w:bookmarkStart w:id="88" w:name="_Toc511813924"/>
      <w:bookmarkStart w:id="89" w:name="_Toc511814010"/>
      <w:bookmarkStart w:id="90" w:name="_Toc511816539"/>
      <w:bookmarkStart w:id="91" w:name="_Toc511816554"/>
      <w:r w:rsidRPr="000921A0">
        <w:t>Disability services</w:t>
      </w:r>
      <w:bookmarkEnd w:id="84"/>
      <w:bookmarkEnd w:id="85"/>
      <w:bookmarkEnd w:id="86"/>
      <w:bookmarkEnd w:id="87"/>
      <w:bookmarkEnd w:id="88"/>
      <w:bookmarkEnd w:id="89"/>
      <w:bookmarkEnd w:id="90"/>
      <w:bookmarkEnd w:id="91"/>
    </w:p>
    <w:p w:rsidR="00287E6F" w:rsidRDefault="00287E6F" w:rsidP="009D249D">
      <w:pPr>
        <w:pStyle w:val="Heading5"/>
      </w:pPr>
      <w:r>
        <w:t>NDIS</w:t>
      </w:r>
    </w:p>
    <w:p w:rsidR="005F7AEB" w:rsidRDefault="005F7AEB" w:rsidP="005F7AEB">
      <w:pPr>
        <w:pStyle w:val="CGCNumberedPara"/>
      </w:pPr>
      <w:r w:rsidRPr="005F7AEB">
        <w:t xml:space="preserve">When the NDIS </w:t>
      </w:r>
      <w:r w:rsidR="000459E3">
        <w:t>achieves</w:t>
      </w:r>
      <w:r w:rsidRPr="005F7AEB">
        <w:t xml:space="preserve"> full</w:t>
      </w:r>
      <w:r w:rsidR="000459E3">
        <w:t xml:space="preserve"> implementation</w:t>
      </w:r>
      <w:r w:rsidRPr="005F7AEB">
        <w:t xml:space="preserve">, State contributions will change from payments </w:t>
      </w:r>
      <w:r w:rsidR="00D561FB">
        <w:t>that</w:t>
      </w:r>
      <w:r w:rsidRPr="005F7AEB">
        <w:t xml:space="preserve"> recognise the number of people covered by the scheme in each State to contributions based on State population shares at Census time. </w:t>
      </w:r>
      <w:r w:rsidRPr="00D07265">
        <w:t>An APC assessment of NDIS full scheme expenses</w:t>
      </w:r>
      <w:r>
        <w:t xml:space="preserve"> was therefore</w:t>
      </w:r>
      <w:r w:rsidRPr="00D07265">
        <w:t xml:space="preserve"> proposed in the 2015 Review</w:t>
      </w:r>
      <w:r>
        <w:t>.</w:t>
      </w:r>
    </w:p>
    <w:p w:rsidR="00011140" w:rsidRDefault="00011140" w:rsidP="00011140">
      <w:pPr>
        <w:pStyle w:val="CGCNumberedPara"/>
      </w:pPr>
      <w:r>
        <w:t>Our understanding is that until population data from the 2021 Census become available to reset the State contributions, States will contribute based on their population shares at the time of the 2011 Census. The change in population shares over that period would have a material impact on the GST distribution. As such, the intended APC assessment of State contributions remains appropriate.</w:t>
      </w:r>
    </w:p>
    <w:p w:rsidR="001C074D" w:rsidRPr="00D07265" w:rsidRDefault="003E5EEB" w:rsidP="001C074D">
      <w:pPr>
        <w:pStyle w:val="CGCNumberedPara"/>
        <w:numPr>
          <w:ilvl w:val="1"/>
          <w:numId w:val="3"/>
        </w:numPr>
        <w:ind w:right="-263"/>
      </w:pPr>
      <w:r>
        <w:t>However, i</w:t>
      </w:r>
      <w:r w:rsidR="004B2420">
        <w:t>t is now evident that a</w:t>
      </w:r>
      <w:r w:rsidR="00287E6F" w:rsidRPr="00D07265">
        <w:t>n APC assessment of NDIS full scheme expenses could not be used without some modification.</w:t>
      </w:r>
      <w:r w:rsidR="001C074D" w:rsidRPr="00D07265">
        <w:t xml:space="preserve"> </w:t>
      </w:r>
      <w:r w:rsidR="00D07265">
        <w:t xml:space="preserve">Specifically, </w:t>
      </w:r>
      <w:r w:rsidR="00D2059A" w:rsidRPr="00D07265">
        <w:t xml:space="preserve">Western Australia’s expenses </w:t>
      </w:r>
      <w:r w:rsidR="00FF0A94" w:rsidRPr="00D07265">
        <w:t xml:space="preserve">need to be </w:t>
      </w:r>
      <w:r w:rsidR="00D2059A" w:rsidRPr="00D07265">
        <w:t>ma</w:t>
      </w:r>
      <w:r w:rsidR="006C7E6B" w:rsidRPr="00D07265">
        <w:t>d</w:t>
      </w:r>
      <w:r w:rsidR="00D2059A" w:rsidRPr="00D07265">
        <w:t xml:space="preserve">e </w:t>
      </w:r>
      <w:r w:rsidR="00FF0A94" w:rsidRPr="00D07265">
        <w:t>consistent</w:t>
      </w:r>
      <w:r w:rsidR="00D2059A" w:rsidRPr="00D07265">
        <w:t xml:space="preserve"> with th</w:t>
      </w:r>
      <w:r w:rsidR="006B4623">
        <w:t>ose</w:t>
      </w:r>
      <w:r w:rsidR="00D2059A" w:rsidRPr="00D07265">
        <w:t xml:space="preserve"> of other States</w:t>
      </w:r>
      <w:r w:rsidR="001C074D" w:rsidRPr="00D07265">
        <w:t xml:space="preserve">. </w:t>
      </w:r>
    </w:p>
    <w:p w:rsidR="00011140" w:rsidRDefault="00011140" w:rsidP="00011140">
      <w:pPr>
        <w:pStyle w:val="CGCBulletlist"/>
      </w:pPr>
      <w:r>
        <w:t>Unlike other States’ NDIS services, which are run under a centralised system, the Western Australian model of the NDIS (‘My Way’) will be locally run and administered, and for the purpose, Western Australia will establish a WA NDIS authority. The authority will be fully funded by Western Australia.</w:t>
      </w:r>
    </w:p>
    <w:p w:rsidR="00DB5419" w:rsidRPr="00D07265" w:rsidRDefault="00D2059A" w:rsidP="0072498B">
      <w:pPr>
        <w:pStyle w:val="CGCBulletlist"/>
      </w:pPr>
      <w:r w:rsidRPr="00D07265">
        <w:t xml:space="preserve">In addition and again unlike other States, </w:t>
      </w:r>
      <w:r w:rsidR="00DB5419" w:rsidRPr="00D07265">
        <w:t>Western Australia will be required to contribute to the cost of all non</w:t>
      </w:r>
      <w:r w:rsidR="00DB5419" w:rsidRPr="00D07265">
        <w:noBreakHyphen/>
        <w:t>package related costs — Information, Linkages and Capacity Building supports</w:t>
      </w:r>
      <w:r w:rsidRPr="00D07265">
        <w:t xml:space="preserve"> and</w:t>
      </w:r>
      <w:r w:rsidR="00DB5419" w:rsidRPr="00D07265">
        <w:t xml:space="preserve"> local coordination</w:t>
      </w:r>
      <w:r w:rsidR="00D07265">
        <w:t xml:space="preserve"> —</w:t>
      </w:r>
      <w:r w:rsidR="00540E60" w:rsidRPr="00D07265">
        <w:t xml:space="preserve"> together with a significant share of any cost overruns</w:t>
      </w:r>
      <w:r w:rsidR="00DB5419" w:rsidRPr="00D07265">
        <w:t xml:space="preserve">. </w:t>
      </w:r>
    </w:p>
    <w:p w:rsidR="001F3CF7" w:rsidRDefault="000241D8" w:rsidP="001F3CF7">
      <w:pPr>
        <w:pStyle w:val="CGCNumberedPara"/>
      </w:pPr>
      <w:r>
        <w:t>To address this issue, t</w:t>
      </w:r>
      <w:r w:rsidR="00EF1D6C">
        <w:t xml:space="preserve">he </w:t>
      </w:r>
      <w:r w:rsidR="001F3CF7">
        <w:t xml:space="preserve">Commission </w:t>
      </w:r>
      <w:r w:rsidR="0065601C">
        <w:t xml:space="preserve">propose to </w:t>
      </w:r>
      <w:r w:rsidR="001F3CF7" w:rsidRPr="001F3CF7">
        <w:t>estimate Western Australia’s contribution based on the State’s population</w:t>
      </w:r>
      <w:r w:rsidR="00C93343">
        <w:t xml:space="preserve"> share</w:t>
      </w:r>
      <w:r w:rsidR="001F3CF7" w:rsidRPr="001F3CF7">
        <w:t xml:space="preserve"> at </w:t>
      </w:r>
      <w:r w:rsidR="0089562D">
        <w:t>C</w:t>
      </w:r>
      <w:r w:rsidR="001F3CF7" w:rsidRPr="001F3CF7">
        <w:t>ensus</w:t>
      </w:r>
      <w:r w:rsidR="00F533A9">
        <w:t xml:space="preserve"> time</w:t>
      </w:r>
      <w:r w:rsidR="00C93343">
        <w:t>.</w:t>
      </w:r>
      <w:r w:rsidR="00C170D3">
        <w:t xml:space="preserve"> </w:t>
      </w:r>
      <w:r w:rsidR="0065601C">
        <w:t>A</w:t>
      </w:r>
      <w:r w:rsidR="00C170D3">
        <w:t xml:space="preserve">ny excess NDIS expenses </w:t>
      </w:r>
      <w:r w:rsidR="0065601C">
        <w:t xml:space="preserve">would </w:t>
      </w:r>
      <w:r w:rsidR="00C170D3">
        <w:t>be included in the other general welfare expenses component and assess</w:t>
      </w:r>
      <w:r w:rsidR="0065601C">
        <w:t>ed</w:t>
      </w:r>
      <w:r w:rsidR="00C170D3">
        <w:t xml:space="preserve"> the same way as the other expenses in that component.</w:t>
      </w:r>
    </w:p>
    <w:p w:rsidR="00052206" w:rsidRDefault="006C7E6B" w:rsidP="00D70E77">
      <w:pPr>
        <w:pStyle w:val="CGCNumberedPara"/>
        <w:numPr>
          <w:ilvl w:val="1"/>
          <w:numId w:val="3"/>
        </w:numPr>
        <w:ind w:right="-263"/>
        <w:rPr>
          <w:u w:val="single"/>
        </w:rPr>
      </w:pPr>
      <w:r w:rsidRPr="00D07265">
        <w:t xml:space="preserve">NDIS is </w:t>
      </w:r>
      <w:r w:rsidR="0038451C">
        <w:t xml:space="preserve">scheduled </w:t>
      </w:r>
      <w:r w:rsidR="004B5A35">
        <w:t>to be</w:t>
      </w:r>
      <w:r w:rsidR="004B5A35" w:rsidRPr="00D07265">
        <w:t xml:space="preserve"> </w:t>
      </w:r>
      <w:r w:rsidR="00CD7DF4" w:rsidRPr="00D07265">
        <w:t>full</w:t>
      </w:r>
      <w:r w:rsidRPr="00D07265">
        <w:t>y</w:t>
      </w:r>
      <w:r w:rsidR="00CD7DF4" w:rsidRPr="00D07265">
        <w:t xml:space="preserve"> implement</w:t>
      </w:r>
      <w:r w:rsidRPr="00D07265">
        <w:t xml:space="preserve">ed </w:t>
      </w:r>
      <w:r w:rsidR="00CD7DF4" w:rsidRPr="00D07265">
        <w:t xml:space="preserve">in seven States </w:t>
      </w:r>
      <w:r w:rsidRPr="00D07265">
        <w:t>by</w:t>
      </w:r>
      <w:r w:rsidR="00CD7DF4" w:rsidRPr="00D07265">
        <w:t xml:space="preserve"> 2019</w:t>
      </w:r>
      <w:r w:rsidR="00CD7DF4" w:rsidRPr="00D07265">
        <w:noBreakHyphen/>
        <w:t>20</w:t>
      </w:r>
      <w:r w:rsidR="0035679F">
        <w:t>, which is the application</w:t>
      </w:r>
      <w:r w:rsidR="0031015D">
        <w:t xml:space="preserve"> year</w:t>
      </w:r>
      <w:r w:rsidR="0035679F">
        <w:t xml:space="preserve"> of the 2019 Update. </w:t>
      </w:r>
      <w:r w:rsidR="0031015D">
        <w:t xml:space="preserve">However, the </w:t>
      </w:r>
      <w:r w:rsidR="00A06DCC">
        <w:t>PC</w:t>
      </w:r>
      <w:r w:rsidR="0065601C">
        <w:t xml:space="preserve">’s </w:t>
      </w:r>
      <w:r w:rsidR="00A06DCC">
        <w:t xml:space="preserve">October 2017 review of NDIS costs </w:t>
      </w:r>
      <w:r w:rsidR="0065601C">
        <w:t xml:space="preserve">found </w:t>
      </w:r>
      <w:r w:rsidR="004219AF" w:rsidRPr="00D07265">
        <w:t xml:space="preserve">that the rollout timetable </w:t>
      </w:r>
      <w:r w:rsidR="00A06DCC">
        <w:t>would</w:t>
      </w:r>
      <w:r w:rsidR="00A06DCC" w:rsidRPr="00D07265">
        <w:t xml:space="preserve"> </w:t>
      </w:r>
      <w:r w:rsidR="004219AF" w:rsidRPr="00D07265">
        <w:t>not be met and the full scheme could be delayed beyond the dates anticipated in the Heads of Agreement</w:t>
      </w:r>
      <w:r w:rsidR="0031015D">
        <w:t>.</w:t>
      </w:r>
      <w:r w:rsidR="00FF0A94" w:rsidRPr="00D07265">
        <w:rPr>
          <w:rStyle w:val="FootnoteReference"/>
        </w:rPr>
        <w:footnoteReference w:id="7"/>
      </w:r>
      <w:r w:rsidR="004219AF" w:rsidRPr="00D07265">
        <w:t xml:space="preserve"> </w:t>
      </w:r>
      <w:r w:rsidR="0031015D">
        <w:t xml:space="preserve">Staff intend to raise the </w:t>
      </w:r>
      <w:r w:rsidR="000B0513">
        <w:t>assessment of NDIS expenses as part of the 2019 </w:t>
      </w:r>
      <w:r w:rsidR="0031015D">
        <w:t xml:space="preserve">Update new issues process. </w:t>
      </w:r>
    </w:p>
    <w:tbl>
      <w:tblPr>
        <w:tblStyle w:val="TableGrid"/>
        <w:tblW w:w="0" w:type="auto"/>
        <w:tblLook w:val="04A0" w:firstRow="1" w:lastRow="0" w:firstColumn="1" w:lastColumn="0" w:noHBand="0" w:noVBand="1"/>
      </w:tblPr>
      <w:tblGrid>
        <w:gridCol w:w="9167"/>
      </w:tblGrid>
      <w:tr w:rsidR="004B1FC8" w:rsidTr="00DA308C">
        <w:tc>
          <w:tcPr>
            <w:tcW w:w="9167" w:type="dxa"/>
            <w:tcBorders>
              <w:top w:val="nil"/>
              <w:left w:val="nil"/>
              <w:bottom w:val="nil"/>
              <w:right w:val="nil"/>
            </w:tcBorders>
            <w:shd w:val="clear" w:color="auto" w:fill="D9F3E6"/>
          </w:tcPr>
          <w:tbl>
            <w:tblPr>
              <w:tblStyle w:val="TableGrid"/>
              <w:tblW w:w="0" w:type="auto"/>
              <w:tblLook w:val="04A0" w:firstRow="1" w:lastRow="0" w:firstColumn="1" w:lastColumn="0" w:noHBand="0" w:noVBand="1"/>
            </w:tblPr>
            <w:tblGrid>
              <w:gridCol w:w="8951"/>
            </w:tblGrid>
            <w:tr w:rsidR="004B1FC8" w:rsidTr="00466637">
              <w:tc>
                <w:tcPr>
                  <w:tcW w:w="8951" w:type="dxa"/>
                  <w:tcBorders>
                    <w:top w:val="nil"/>
                    <w:left w:val="nil"/>
                    <w:bottom w:val="nil"/>
                    <w:right w:val="nil"/>
                  </w:tcBorders>
                  <w:shd w:val="clear" w:color="auto" w:fill="D9F3E6"/>
                </w:tcPr>
                <w:p w:rsidR="004B1FC8" w:rsidRPr="00D07265" w:rsidRDefault="004B1FC8" w:rsidP="00DA308C">
                  <w:r w:rsidRPr="00D07265">
                    <w:lastRenderedPageBreak/>
                    <w:t>Staff propose to recommend the Commission:</w:t>
                  </w:r>
                </w:p>
                <w:p w:rsidR="004B1FC8" w:rsidRPr="00D07265" w:rsidRDefault="000A1051" w:rsidP="009C537D">
                  <w:pPr>
                    <w:pStyle w:val="CGCBulletlist"/>
                  </w:pPr>
                  <w:r w:rsidRPr="00D07265">
                    <w:t xml:space="preserve">assess NDIS expenses </w:t>
                  </w:r>
                  <w:r w:rsidR="0038451C">
                    <w:t xml:space="preserve">APC </w:t>
                  </w:r>
                  <w:r w:rsidR="004C6C2B" w:rsidRPr="00D07265">
                    <w:t>at full implementation</w:t>
                  </w:r>
                  <w:r w:rsidR="0031015D">
                    <w:t xml:space="preserve"> in the 2020 Review, subject to decisions on this issue taken </w:t>
                  </w:r>
                  <w:r w:rsidR="009C537D">
                    <w:t>in</w:t>
                  </w:r>
                  <w:r w:rsidR="0031015D">
                    <w:t xml:space="preserve"> the 2019 Update</w:t>
                  </w:r>
                  <w:r w:rsidR="0018056E" w:rsidRPr="00D07265">
                    <w:t>.</w:t>
                  </w:r>
                </w:p>
              </w:tc>
            </w:tr>
          </w:tbl>
          <w:p w:rsidR="004B1FC8" w:rsidRDefault="004B1FC8" w:rsidP="00DA308C">
            <w:pPr>
              <w:pStyle w:val="CGCBulletlist"/>
              <w:numPr>
                <w:ilvl w:val="0"/>
                <w:numId w:val="0"/>
              </w:numPr>
              <w:ind w:left="1134"/>
            </w:pPr>
          </w:p>
        </w:tc>
      </w:tr>
    </w:tbl>
    <w:p w:rsidR="003E7661" w:rsidRDefault="003E7661" w:rsidP="009D249D">
      <w:pPr>
        <w:pStyle w:val="Heading5"/>
      </w:pPr>
      <w:r>
        <w:t>Non-NDIS disability services</w:t>
      </w:r>
    </w:p>
    <w:p w:rsidR="005270C1" w:rsidRDefault="000241D8" w:rsidP="00EF6183">
      <w:pPr>
        <w:pStyle w:val="CGCNumberedPara"/>
      </w:pPr>
      <w:r>
        <w:rPr>
          <w:lang w:val="en"/>
        </w:rPr>
        <w:t>In its 2015 Review report, t</w:t>
      </w:r>
      <w:r w:rsidR="0021211A">
        <w:rPr>
          <w:lang w:val="en"/>
        </w:rPr>
        <w:t xml:space="preserve">he Commission </w:t>
      </w:r>
      <w:r>
        <w:rPr>
          <w:lang w:val="en"/>
        </w:rPr>
        <w:t>said</w:t>
      </w:r>
      <w:r w:rsidR="0021211A">
        <w:rPr>
          <w:lang w:val="en"/>
        </w:rPr>
        <w:t xml:space="preserve"> that</w:t>
      </w:r>
      <w:r w:rsidR="00754AF6">
        <w:rPr>
          <w:lang w:val="en"/>
        </w:rPr>
        <w:t>, upon full implementation of the NDIS,</w:t>
      </w:r>
      <w:r w:rsidR="0021211A">
        <w:rPr>
          <w:lang w:val="en"/>
        </w:rPr>
        <w:t xml:space="preserve"> it would </w:t>
      </w:r>
      <w:r w:rsidR="0021211A" w:rsidRPr="00EC79CF">
        <w:t xml:space="preserve">continue the dual </w:t>
      </w:r>
      <w:r w:rsidR="0021211A">
        <w:t xml:space="preserve">assessment </w:t>
      </w:r>
      <w:r w:rsidR="0021211A" w:rsidRPr="00EC79CF">
        <w:t xml:space="preserve">approach until the non-NDIS </w:t>
      </w:r>
      <w:r w:rsidR="002B6332">
        <w:t xml:space="preserve">disability </w:t>
      </w:r>
      <w:r w:rsidR="0021211A" w:rsidRPr="00EC79CF">
        <w:t>service</w:t>
      </w:r>
      <w:r w:rsidR="002B6332">
        <w:t>s</w:t>
      </w:r>
      <w:r w:rsidR="0021211A" w:rsidRPr="00EC79CF">
        <w:t xml:space="preserve"> assessment is no longer material</w:t>
      </w:r>
      <w:r w:rsidR="0021211A">
        <w:t>.</w:t>
      </w:r>
      <w:r w:rsidR="005270C1">
        <w:t xml:space="preserve"> </w:t>
      </w:r>
    </w:p>
    <w:p w:rsidR="005028AC" w:rsidRDefault="005028AC" w:rsidP="0013729B">
      <w:pPr>
        <w:pStyle w:val="CGCNumberedPara"/>
      </w:pPr>
      <w:r>
        <w:t xml:space="preserve">Staff have tested the materiality of </w:t>
      </w:r>
      <w:r w:rsidR="00B6694D">
        <w:t xml:space="preserve">the current </w:t>
      </w:r>
      <w:r>
        <w:t xml:space="preserve">non-NDIS </w:t>
      </w:r>
      <w:r w:rsidR="00606849">
        <w:t xml:space="preserve">disability </w:t>
      </w:r>
      <w:r>
        <w:t>expenses</w:t>
      </w:r>
      <w:r w:rsidR="00CC5027">
        <w:t xml:space="preserve"> </w:t>
      </w:r>
      <w:r w:rsidR="00B6694D">
        <w:t xml:space="preserve">assessment </w:t>
      </w:r>
      <w:r w:rsidR="00CC5027">
        <w:t>by</w:t>
      </w:r>
      <w:r w:rsidR="00A81603">
        <w:t xml:space="preserve"> </w:t>
      </w:r>
      <w:r w:rsidR="00CC5027">
        <w:t xml:space="preserve">comparing </w:t>
      </w:r>
      <w:r w:rsidR="000241D8">
        <w:t xml:space="preserve">its GST redistribution </w:t>
      </w:r>
      <w:r w:rsidR="00CC5027">
        <w:t xml:space="preserve">with </w:t>
      </w:r>
      <w:r w:rsidR="000241D8">
        <w:t xml:space="preserve">that of </w:t>
      </w:r>
      <w:r w:rsidR="00CC5027">
        <w:t>the most likely alternative</w:t>
      </w:r>
      <w:r w:rsidR="00B6694D">
        <w:t xml:space="preserve"> assessment</w:t>
      </w:r>
      <w:r w:rsidR="00CC5027">
        <w:t>, that is</w:t>
      </w:r>
      <w:r w:rsidR="000D21C1">
        <w:t>,</w:t>
      </w:r>
      <w:r w:rsidR="00CC5027">
        <w:t xml:space="preserve"> </w:t>
      </w:r>
      <w:r w:rsidR="000D21C1">
        <w:t>the</w:t>
      </w:r>
      <w:r w:rsidR="00CC5027">
        <w:t xml:space="preserve"> low </w:t>
      </w:r>
      <w:r w:rsidR="00E3583E">
        <w:t>SES</w:t>
      </w:r>
      <w:r w:rsidR="000241D8">
        <w:t xml:space="preserve"> </w:t>
      </w:r>
      <w:r w:rsidR="00CC5027">
        <w:t>assessment used in the other general welfare component</w:t>
      </w:r>
      <w:r w:rsidR="0065601C">
        <w:t xml:space="preserve">. The other general welfare component is </w:t>
      </w:r>
      <w:r w:rsidR="00CC5027">
        <w:t>where non-NDIS expenses would be re-allocated if the assessment is not material.</w:t>
      </w:r>
      <w:r w:rsidR="00A81603">
        <w:t xml:space="preserve"> </w:t>
      </w:r>
      <w:r>
        <w:t xml:space="preserve">We have </w:t>
      </w:r>
      <w:r w:rsidR="00B447E7">
        <w:t xml:space="preserve">used </w:t>
      </w:r>
      <w:r>
        <w:t xml:space="preserve">the 2018 Update non-NDIS </w:t>
      </w:r>
      <w:r w:rsidR="00606849">
        <w:t xml:space="preserve">disability </w:t>
      </w:r>
      <w:r>
        <w:t>expenses</w:t>
      </w:r>
      <w:r w:rsidR="00B6694D">
        <w:t xml:space="preserve"> </w:t>
      </w:r>
      <w:r w:rsidR="0065601C">
        <w:t xml:space="preserve">of around $1.3 billion </w:t>
      </w:r>
      <w:r w:rsidR="00B6694D">
        <w:t>for the calculation. They</w:t>
      </w:r>
      <w:r>
        <w:t xml:space="preserve"> reflect an average </w:t>
      </w:r>
      <w:r w:rsidR="0013729B">
        <w:t>s</w:t>
      </w:r>
      <w:r w:rsidR="0013729B" w:rsidRPr="0013729B">
        <w:t xml:space="preserve">hare </w:t>
      </w:r>
      <w:r w:rsidR="0013729B">
        <w:t xml:space="preserve">across States </w:t>
      </w:r>
      <w:r w:rsidR="0013729B" w:rsidRPr="0013729B">
        <w:t xml:space="preserve">of application year disability services expenses attributed to </w:t>
      </w:r>
      <w:r w:rsidR="0013729B">
        <w:t xml:space="preserve">the </w:t>
      </w:r>
      <w:r w:rsidR="0013729B" w:rsidRPr="0013729B">
        <w:t xml:space="preserve">NDIS </w:t>
      </w:r>
      <w:r>
        <w:t xml:space="preserve">of 84% </w:t>
      </w:r>
      <w:r w:rsidR="006878DD">
        <w:t>and, as such, could</w:t>
      </w:r>
      <w:r>
        <w:t xml:space="preserve"> be </w:t>
      </w:r>
      <w:r w:rsidRPr="00A81603">
        <w:rPr>
          <w:rStyle w:val="CGCParaNoChar"/>
        </w:rPr>
        <w:t>e</w:t>
      </w:r>
      <w:r>
        <w:t>xpected t</w:t>
      </w:r>
      <w:r w:rsidR="006878DD">
        <w:t>o</w:t>
      </w:r>
      <w:r>
        <w:t xml:space="preserve"> overestimate the non-NDIS expenses </w:t>
      </w:r>
      <w:r w:rsidR="00606849">
        <w:t>after</w:t>
      </w:r>
      <w:r>
        <w:t xml:space="preserve"> full implementation.</w:t>
      </w:r>
    </w:p>
    <w:p w:rsidR="006878DD" w:rsidRDefault="006878DD" w:rsidP="005028AC">
      <w:pPr>
        <w:pStyle w:val="CGCNumberedPara"/>
        <w:numPr>
          <w:ilvl w:val="1"/>
          <w:numId w:val="3"/>
        </w:numPr>
      </w:pPr>
      <w:r>
        <w:t xml:space="preserve">We also consider current information suggests an assessment based on the number of people in low SES groups will be the most appropriate after the NDIS is fully implemented. This is because any remaining non-NDIS State expenses at that time are likely to target gaps between NDIS and mainstream services and support provided to people who cannot access NDIS services.  </w:t>
      </w:r>
    </w:p>
    <w:p w:rsidR="004346CC" w:rsidRDefault="002B7C33" w:rsidP="00BA6CDE">
      <w:pPr>
        <w:pStyle w:val="CGCNumberedPara"/>
        <w:numPr>
          <w:ilvl w:val="1"/>
          <w:numId w:val="3"/>
        </w:numPr>
      </w:pPr>
      <w:r>
        <w:fldChar w:fldCharType="begin"/>
      </w:r>
      <w:r>
        <w:instrText xml:space="preserve"> REF _Ref511816475 \h </w:instrText>
      </w:r>
      <w:r>
        <w:fldChar w:fldCharType="separate"/>
      </w:r>
      <w:r w:rsidR="00835CFE">
        <w:t xml:space="preserve">Table </w:t>
      </w:r>
      <w:r w:rsidR="00835CFE">
        <w:rPr>
          <w:noProof/>
        </w:rPr>
        <w:t>7</w:t>
      </w:r>
      <w:r>
        <w:fldChar w:fldCharType="end"/>
      </w:r>
      <w:r>
        <w:t xml:space="preserve"> </w:t>
      </w:r>
      <w:r w:rsidR="008D1476">
        <w:t>shows the GST redistribution of</w:t>
      </w:r>
      <w:r w:rsidR="004346CC">
        <w:t>:</w:t>
      </w:r>
    </w:p>
    <w:p w:rsidR="004346CC" w:rsidRDefault="008D1476" w:rsidP="004346CC">
      <w:pPr>
        <w:pStyle w:val="CGCBulletlist"/>
      </w:pPr>
      <w:r>
        <w:t xml:space="preserve">the current non-NDIS </w:t>
      </w:r>
      <w:r w:rsidR="004346CC">
        <w:t xml:space="preserve">disability </w:t>
      </w:r>
      <w:r>
        <w:t>expenses assessment</w:t>
      </w:r>
    </w:p>
    <w:p w:rsidR="004346CC" w:rsidRDefault="008D1476" w:rsidP="004346CC">
      <w:pPr>
        <w:pStyle w:val="CGCBulletlist"/>
      </w:pPr>
      <w:r>
        <w:t xml:space="preserve">an assessment </w:t>
      </w:r>
      <w:r w:rsidR="00B6694D">
        <w:t>of</w:t>
      </w:r>
      <w:r>
        <w:t xml:space="preserve"> non-NDIS expenses based on the low </w:t>
      </w:r>
      <w:r w:rsidR="00E3583E">
        <w:t>SES</w:t>
      </w:r>
      <w:r>
        <w:t xml:space="preserve"> measure used in the other general welfare component</w:t>
      </w:r>
      <w:r w:rsidR="00B6694D">
        <w:t xml:space="preserve"> </w:t>
      </w:r>
    </w:p>
    <w:p w:rsidR="004346CC" w:rsidRDefault="00B6694D" w:rsidP="004346CC">
      <w:pPr>
        <w:pStyle w:val="CGCBulletlist"/>
      </w:pPr>
      <w:r>
        <w:t xml:space="preserve">the net difference. </w:t>
      </w:r>
    </w:p>
    <w:p w:rsidR="0090471A" w:rsidRDefault="00B6694D" w:rsidP="004346CC">
      <w:pPr>
        <w:ind w:left="567"/>
      </w:pPr>
      <w:r>
        <w:t xml:space="preserve">It shows </w:t>
      </w:r>
      <w:r w:rsidR="001D6E2E">
        <w:t>the two assessments are not materially different from each other</w:t>
      </w:r>
      <w:r w:rsidR="001A69FF">
        <w:t>, using the $35 per capita materiality threshold</w:t>
      </w:r>
      <w:r w:rsidR="001D6E2E">
        <w:t xml:space="preserve">. </w:t>
      </w:r>
      <w:r w:rsidR="00F159B0">
        <w:t>This suggests the staff proposal to re-allocate the remaining non</w:t>
      </w:r>
      <w:r w:rsidR="00F159B0">
        <w:noBreakHyphen/>
        <w:t>NDIS disability expenses to the other general welfare component and assess them using the same measure of low SES population is reasonable.</w:t>
      </w:r>
    </w:p>
    <w:p w:rsidR="00907829" w:rsidRDefault="00F159B0" w:rsidP="00F159B0">
      <w:pPr>
        <w:pStyle w:val="CGCNumberedPara"/>
        <w:numPr>
          <w:ilvl w:val="1"/>
          <w:numId w:val="3"/>
        </w:numPr>
        <w:rPr>
          <w:u w:val="single"/>
        </w:rPr>
      </w:pPr>
      <w:r>
        <w:t>Staff intend to raise the treatment of non-NDIS expenses as part of the 2019 Update new issues process.</w:t>
      </w:r>
    </w:p>
    <w:p w:rsidR="00907829" w:rsidRDefault="00907829">
      <w:pPr>
        <w:tabs>
          <w:tab w:val="clear" w:pos="567"/>
        </w:tabs>
        <w:spacing w:after="200" w:line="276" w:lineRule="auto"/>
        <w:rPr>
          <w:u w:val="single"/>
        </w:rPr>
      </w:pPr>
      <w:r>
        <w:rPr>
          <w:u w:val="single"/>
        </w:rPr>
        <w:br w:type="page"/>
      </w:r>
    </w:p>
    <w:tbl>
      <w:tblPr>
        <w:tblStyle w:val="TableGrid"/>
        <w:tblW w:w="0" w:type="auto"/>
        <w:tblLook w:val="04A0" w:firstRow="1" w:lastRow="0" w:firstColumn="1" w:lastColumn="0" w:noHBand="0" w:noVBand="1"/>
      </w:tblPr>
      <w:tblGrid>
        <w:gridCol w:w="9167"/>
      </w:tblGrid>
      <w:tr w:rsidR="00F159B0" w:rsidTr="00011140">
        <w:tc>
          <w:tcPr>
            <w:tcW w:w="9167" w:type="dxa"/>
            <w:tcBorders>
              <w:top w:val="nil"/>
              <w:left w:val="nil"/>
              <w:bottom w:val="nil"/>
              <w:right w:val="nil"/>
            </w:tcBorders>
            <w:shd w:val="clear" w:color="auto" w:fill="D9F3E6"/>
          </w:tcPr>
          <w:tbl>
            <w:tblPr>
              <w:tblStyle w:val="TableGrid"/>
              <w:tblW w:w="0" w:type="auto"/>
              <w:tblLook w:val="04A0" w:firstRow="1" w:lastRow="0" w:firstColumn="1" w:lastColumn="0" w:noHBand="0" w:noVBand="1"/>
            </w:tblPr>
            <w:tblGrid>
              <w:gridCol w:w="8951"/>
            </w:tblGrid>
            <w:tr w:rsidR="00F159B0" w:rsidTr="00011140">
              <w:tc>
                <w:tcPr>
                  <w:tcW w:w="8951" w:type="dxa"/>
                  <w:tcBorders>
                    <w:top w:val="nil"/>
                    <w:left w:val="nil"/>
                    <w:bottom w:val="nil"/>
                    <w:right w:val="nil"/>
                  </w:tcBorders>
                  <w:shd w:val="clear" w:color="auto" w:fill="D9F3E6"/>
                </w:tcPr>
                <w:p w:rsidR="00F159B0" w:rsidRDefault="00F159B0" w:rsidP="00011140">
                  <w:r w:rsidRPr="00741FF2">
                    <w:lastRenderedPageBreak/>
                    <w:t xml:space="preserve">Staff propose to recommend the </w:t>
                  </w:r>
                  <w:r>
                    <w:t>C</w:t>
                  </w:r>
                  <w:r w:rsidRPr="00741FF2">
                    <w:t>ommission</w:t>
                  </w:r>
                  <w:r>
                    <w:t>:</w:t>
                  </w:r>
                </w:p>
                <w:p w:rsidR="00F159B0" w:rsidRDefault="00C4554D" w:rsidP="00C4554D">
                  <w:pPr>
                    <w:pStyle w:val="CGCBulletlist"/>
                  </w:pPr>
                  <w:r>
                    <w:t xml:space="preserve">re-allocate </w:t>
                  </w:r>
                  <w:r w:rsidR="00F159B0" w:rsidRPr="000241D8">
                    <w:t>non NDIS expenses to the other general welfare component and assess</w:t>
                  </w:r>
                  <w:r>
                    <w:t xml:space="preserve"> them</w:t>
                  </w:r>
                  <w:r w:rsidR="00F159B0" w:rsidRPr="000241D8">
                    <w:t xml:space="preserve"> using the same measure of low </w:t>
                  </w:r>
                  <w:r w:rsidR="00F159B0">
                    <w:t>SES</w:t>
                  </w:r>
                  <w:r w:rsidR="00F159B0" w:rsidRPr="000241D8">
                    <w:t xml:space="preserve"> as that used for other general welfare expenses</w:t>
                  </w:r>
                  <w:r w:rsidRPr="000241D8">
                    <w:t xml:space="preserve"> after </w:t>
                  </w:r>
                  <w:r>
                    <w:t xml:space="preserve">the </w:t>
                  </w:r>
                  <w:r w:rsidRPr="000241D8">
                    <w:t>full implementation</w:t>
                  </w:r>
                  <w:r>
                    <w:t xml:space="preserve"> of NDIS</w:t>
                  </w:r>
                  <w:r w:rsidR="00F159B0">
                    <w:t>,</w:t>
                  </w:r>
                  <w:r w:rsidR="00F159B0" w:rsidRPr="000241D8">
                    <w:t xml:space="preserve"> </w:t>
                  </w:r>
                  <w:r w:rsidR="00F159B0">
                    <w:t>subject to decisions on this issue taken in the 2019 Update</w:t>
                  </w:r>
                  <w:r w:rsidR="00F159B0" w:rsidRPr="00D07265">
                    <w:t>.</w:t>
                  </w:r>
                </w:p>
              </w:tc>
            </w:tr>
          </w:tbl>
          <w:p w:rsidR="00F159B0" w:rsidRDefault="00F159B0" w:rsidP="00011140">
            <w:pPr>
              <w:pStyle w:val="CGCBulletlist"/>
              <w:numPr>
                <w:ilvl w:val="0"/>
                <w:numId w:val="0"/>
              </w:numPr>
              <w:ind w:left="1134"/>
            </w:pPr>
          </w:p>
        </w:tc>
      </w:tr>
    </w:tbl>
    <w:p w:rsidR="00666DC4" w:rsidRDefault="00666DC4" w:rsidP="00666DC4">
      <w:pPr>
        <w:pStyle w:val="Caption"/>
      </w:pPr>
      <w:bookmarkStart w:id="92" w:name="_Ref511816475"/>
      <w:bookmarkStart w:id="93" w:name="_Ref511816468"/>
      <w:r>
        <w:t xml:space="preserve">Table </w:t>
      </w:r>
      <w:r w:rsidR="00101636">
        <w:fldChar w:fldCharType="begin"/>
      </w:r>
      <w:r w:rsidR="00101636">
        <w:instrText xml:space="preserve"> SEQ Table \* ARABIC </w:instrText>
      </w:r>
      <w:r w:rsidR="00101636">
        <w:fldChar w:fldCharType="separate"/>
      </w:r>
      <w:r w:rsidR="00835CFE">
        <w:rPr>
          <w:noProof/>
        </w:rPr>
        <w:t>7</w:t>
      </w:r>
      <w:r w:rsidR="00101636">
        <w:rPr>
          <w:noProof/>
        </w:rPr>
        <w:fldChar w:fldCharType="end"/>
      </w:r>
      <w:bookmarkEnd w:id="92"/>
      <w:r>
        <w:tab/>
      </w:r>
      <w:r w:rsidRPr="002817B0">
        <w:t>GST redistribution of possible assessments of non-NDIS expenses</w:t>
      </w:r>
      <w:bookmarkEnd w:id="93"/>
    </w:p>
    <w:tbl>
      <w:tblPr>
        <w:tblW w:w="9000" w:type="dxa"/>
        <w:tblInd w:w="108" w:type="dxa"/>
        <w:tblLook w:val="04A0" w:firstRow="1" w:lastRow="0" w:firstColumn="1" w:lastColumn="0" w:noHBand="0" w:noVBand="1"/>
      </w:tblPr>
      <w:tblGrid>
        <w:gridCol w:w="1880"/>
        <w:gridCol w:w="820"/>
        <w:gridCol w:w="800"/>
        <w:gridCol w:w="740"/>
        <w:gridCol w:w="800"/>
        <w:gridCol w:w="740"/>
        <w:gridCol w:w="740"/>
        <w:gridCol w:w="800"/>
        <w:gridCol w:w="740"/>
        <w:gridCol w:w="940"/>
      </w:tblGrid>
      <w:tr w:rsidR="00666DC4" w:rsidRPr="00666DC4" w:rsidTr="00666DC4">
        <w:trPr>
          <w:trHeight w:val="379"/>
        </w:trPr>
        <w:tc>
          <w:tcPr>
            <w:tcW w:w="188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bookmarkStart w:id="94" w:name="RANGE!F11:O21"/>
            <w:r w:rsidRPr="00666DC4">
              <w:rPr>
                <w:rFonts w:ascii="Calibri" w:eastAsia="Times New Roman" w:hAnsi="Calibri" w:cstheme="minorHAnsi"/>
                <w:color w:val="000000"/>
                <w:sz w:val="20"/>
                <w:szCs w:val="20"/>
                <w:lang w:eastAsia="en-AU"/>
              </w:rPr>
              <w:t> </w:t>
            </w:r>
            <w:bookmarkEnd w:id="94"/>
          </w:p>
        </w:tc>
        <w:tc>
          <w:tcPr>
            <w:tcW w:w="82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NSW</w:t>
            </w:r>
          </w:p>
        </w:tc>
        <w:tc>
          <w:tcPr>
            <w:tcW w:w="80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Qld</w:t>
            </w:r>
          </w:p>
        </w:tc>
        <w:tc>
          <w:tcPr>
            <w:tcW w:w="80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WA</w:t>
            </w:r>
          </w:p>
        </w:tc>
        <w:tc>
          <w:tcPr>
            <w:tcW w:w="74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SA</w:t>
            </w:r>
          </w:p>
        </w:tc>
        <w:tc>
          <w:tcPr>
            <w:tcW w:w="74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Tas</w:t>
            </w:r>
          </w:p>
        </w:tc>
        <w:tc>
          <w:tcPr>
            <w:tcW w:w="80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NT</w:t>
            </w:r>
          </w:p>
        </w:tc>
        <w:tc>
          <w:tcPr>
            <w:tcW w:w="940" w:type="dxa"/>
            <w:tcBorders>
              <w:top w:val="single" w:sz="4" w:space="0" w:color="auto"/>
              <w:left w:val="nil"/>
              <w:bottom w:val="single" w:sz="4" w:space="0" w:color="auto"/>
              <w:right w:val="nil"/>
            </w:tcBorders>
            <w:shd w:val="clear" w:color="auto" w:fill="auto"/>
            <w:noWrap/>
            <w:vAlign w:val="center"/>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Redist</w:t>
            </w:r>
          </w:p>
        </w:tc>
      </w:tr>
      <w:tr w:rsidR="00666DC4" w:rsidRPr="00666DC4" w:rsidTr="00666DC4">
        <w:trPr>
          <w:trHeight w:val="259"/>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r>
      <w:tr w:rsidR="00666DC4" w:rsidRPr="00666DC4" w:rsidTr="00666DC4">
        <w:trPr>
          <w:trHeight w:val="555"/>
        </w:trPr>
        <w:tc>
          <w:tcPr>
            <w:tcW w:w="188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Current non-NDIS assessment</w:t>
            </w:r>
          </w:p>
        </w:tc>
        <w:tc>
          <w:tcPr>
            <w:tcW w:w="82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rPr>
                <w:rFonts w:ascii="Calibri" w:eastAsia="Times New Roman" w:hAnsi="Calibri" w:cs="Calibri"/>
                <w:color w:val="000000"/>
                <w:sz w:val="20"/>
                <w:szCs w:val="20"/>
                <w:lang w:eastAsia="en-AU"/>
              </w:rPr>
            </w:pPr>
          </w:p>
        </w:tc>
        <w:tc>
          <w:tcPr>
            <w:tcW w:w="80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80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80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r>
      <w:tr w:rsidR="00666DC4" w:rsidRPr="00666DC4" w:rsidTr="00666DC4">
        <w:trPr>
          <w:trHeight w:val="315"/>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-22</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9</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6</w:t>
            </w: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25</w:t>
            </w:r>
          </w:p>
        </w:tc>
      </w:tr>
      <w:tr w:rsidR="00666DC4" w:rsidRPr="00666DC4" w:rsidTr="00666DC4">
        <w:trPr>
          <w:trHeight w:val="315"/>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$pc</w:t>
            </w: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0</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7</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25</w:t>
            </w: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r>
      <w:tr w:rsidR="00666DC4" w:rsidRPr="00666DC4" w:rsidTr="00666DC4">
        <w:trPr>
          <w:trHeight w:val="315"/>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Low SES measure</w:t>
            </w: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rPr>
                <w:rFonts w:ascii="Calibri" w:eastAsia="Times New Roman" w:hAnsi="Calibri" w:cs="Calibri"/>
                <w:color w:val="000000"/>
                <w:sz w:val="20"/>
                <w:szCs w:val="20"/>
                <w:lang w:eastAsia="en-AU"/>
              </w:rPr>
            </w:pP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r>
      <w:tr w:rsidR="00666DC4" w:rsidRPr="00666DC4" w:rsidTr="00666DC4">
        <w:trPr>
          <w:trHeight w:val="315"/>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8</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-17</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6</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-28</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22</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12</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-9</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5</w:t>
            </w: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54</w:t>
            </w:r>
          </w:p>
        </w:tc>
      </w:tr>
      <w:tr w:rsidR="00666DC4" w:rsidRPr="00666DC4" w:rsidTr="00666DC4">
        <w:trPr>
          <w:trHeight w:val="315"/>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$pc</w:t>
            </w: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-11</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13</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23</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-21</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22</w:t>
            </w: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w:t>
            </w:r>
          </w:p>
        </w:tc>
      </w:tr>
      <w:tr w:rsidR="00666DC4" w:rsidRPr="00666DC4" w:rsidTr="00666DC4">
        <w:trPr>
          <w:trHeight w:val="315"/>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Net effect</w:t>
            </w: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rPr>
                <w:rFonts w:ascii="Calibri" w:eastAsia="Times New Roman" w:hAnsi="Calibri" w:cs="Calibri"/>
                <w:color w:val="000000"/>
                <w:sz w:val="20"/>
                <w:szCs w:val="20"/>
                <w:lang w:eastAsia="en-AU"/>
              </w:rPr>
            </w:pP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Times New Roman" w:eastAsia="Times New Roman" w:hAnsi="Times New Roman" w:cs="Times New Roman"/>
                <w:sz w:val="20"/>
                <w:szCs w:val="20"/>
                <w:lang w:eastAsia="en-AU"/>
              </w:rPr>
            </w:pPr>
          </w:p>
        </w:tc>
      </w:tr>
      <w:tr w:rsidR="00666DC4" w:rsidRPr="00666DC4" w:rsidTr="00666DC4">
        <w:trPr>
          <w:trHeight w:val="315"/>
        </w:trPr>
        <w:tc>
          <w:tcPr>
            <w:tcW w:w="188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$m</w:t>
            </w:r>
          </w:p>
        </w:tc>
        <w:tc>
          <w:tcPr>
            <w:tcW w:w="82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5</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5</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-26</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19</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8</w:t>
            </w:r>
          </w:p>
        </w:tc>
        <w:tc>
          <w:tcPr>
            <w:tcW w:w="80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-8</w:t>
            </w:r>
          </w:p>
        </w:tc>
        <w:tc>
          <w:tcPr>
            <w:tcW w:w="7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940" w:type="dxa"/>
            <w:tcBorders>
              <w:top w:val="nil"/>
              <w:left w:val="nil"/>
              <w:bottom w:val="nil"/>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37</w:t>
            </w:r>
          </w:p>
        </w:tc>
      </w:tr>
      <w:tr w:rsidR="00666DC4" w:rsidRPr="00666DC4" w:rsidTr="00666DC4">
        <w:trPr>
          <w:trHeight w:val="315"/>
        </w:trPr>
        <w:tc>
          <w:tcPr>
            <w:tcW w:w="188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ind w:firstLineChars="100" w:firstLine="200"/>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$pc</w:t>
            </w:r>
          </w:p>
        </w:tc>
        <w:tc>
          <w:tcPr>
            <w:tcW w:w="82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80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74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c>
          <w:tcPr>
            <w:tcW w:w="80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-10</w:t>
            </w:r>
          </w:p>
        </w:tc>
        <w:tc>
          <w:tcPr>
            <w:tcW w:w="74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11</w:t>
            </w:r>
          </w:p>
        </w:tc>
        <w:tc>
          <w:tcPr>
            <w:tcW w:w="74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16</w:t>
            </w:r>
          </w:p>
        </w:tc>
        <w:tc>
          <w:tcPr>
            <w:tcW w:w="80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-18</w:t>
            </w:r>
          </w:p>
        </w:tc>
        <w:tc>
          <w:tcPr>
            <w:tcW w:w="74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-4</w:t>
            </w:r>
          </w:p>
        </w:tc>
        <w:tc>
          <w:tcPr>
            <w:tcW w:w="940" w:type="dxa"/>
            <w:tcBorders>
              <w:top w:val="nil"/>
              <w:left w:val="nil"/>
              <w:bottom w:val="single" w:sz="4" w:space="0" w:color="auto"/>
              <w:right w:val="nil"/>
            </w:tcBorders>
            <w:shd w:val="clear" w:color="auto" w:fill="auto"/>
            <w:noWrap/>
            <w:vAlign w:val="bottom"/>
            <w:hideMark/>
          </w:tcPr>
          <w:p w:rsidR="00666DC4" w:rsidRPr="00666DC4" w:rsidRDefault="00666DC4" w:rsidP="00666DC4">
            <w:pPr>
              <w:tabs>
                <w:tab w:val="clear" w:pos="567"/>
              </w:tabs>
              <w:spacing w:after="0" w:line="240" w:lineRule="auto"/>
              <w:jc w:val="right"/>
              <w:rPr>
                <w:rFonts w:ascii="Calibri" w:eastAsia="Times New Roman" w:hAnsi="Calibri" w:cs="Calibri"/>
                <w:color w:val="000000"/>
                <w:sz w:val="20"/>
                <w:szCs w:val="20"/>
                <w:lang w:eastAsia="en-AU"/>
              </w:rPr>
            </w:pPr>
            <w:r w:rsidRPr="00666DC4">
              <w:rPr>
                <w:rFonts w:ascii="Calibri" w:eastAsia="Times New Roman" w:hAnsi="Calibri" w:cstheme="minorHAnsi"/>
                <w:color w:val="000000"/>
                <w:sz w:val="20"/>
                <w:szCs w:val="20"/>
                <w:lang w:eastAsia="en-AU"/>
              </w:rPr>
              <w:t>1</w:t>
            </w:r>
          </w:p>
        </w:tc>
      </w:tr>
    </w:tbl>
    <w:p w:rsidR="00666DC4" w:rsidRDefault="00666DC4" w:rsidP="00666DC4">
      <w:pPr>
        <w:pStyle w:val="CGCTableFootnote"/>
      </w:pPr>
      <w:r>
        <w:t>Source:</w:t>
      </w:r>
      <w:r>
        <w:tab/>
        <w:t>Staff calculation.</w:t>
      </w:r>
    </w:p>
    <w:p w:rsidR="0010505B" w:rsidRPr="000921A0" w:rsidRDefault="00EE156F" w:rsidP="007279EF">
      <w:pPr>
        <w:pStyle w:val="Heading4"/>
      </w:pPr>
      <w:bookmarkStart w:id="95" w:name="_Toc511036010"/>
      <w:bookmarkStart w:id="96" w:name="_Toc511813735"/>
      <w:bookmarkStart w:id="97" w:name="_Toc511813750"/>
      <w:bookmarkStart w:id="98" w:name="_Toc511813831"/>
      <w:bookmarkStart w:id="99" w:name="_Toc511813925"/>
      <w:bookmarkStart w:id="100" w:name="_Toc511814011"/>
      <w:bookmarkStart w:id="101" w:name="_Toc511816540"/>
      <w:bookmarkStart w:id="102" w:name="_Toc511816555"/>
      <w:r w:rsidRPr="000921A0">
        <w:t>General welfare services</w:t>
      </w:r>
      <w:bookmarkEnd w:id="95"/>
      <w:bookmarkEnd w:id="96"/>
      <w:bookmarkEnd w:id="97"/>
      <w:bookmarkEnd w:id="98"/>
      <w:bookmarkEnd w:id="99"/>
      <w:bookmarkEnd w:id="100"/>
      <w:bookmarkEnd w:id="101"/>
      <w:bookmarkEnd w:id="102"/>
    </w:p>
    <w:p w:rsidR="00EE156F" w:rsidRDefault="00EE156F" w:rsidP="009D249D">
      <w:pPr>
        <w:pStyle w:val="Heading5"/>
      </w:pPr>
      <w:r>
        <w:t>Concessions</w:t>
      </w:r>
    </w:p>
    <w:p w:rsidR="005B60C7" w:rsidRDefault="0020244B" w:rsidP="005B60C7">
      <w:pPr>
        <w:pStyle w:val="CGCNumberedPara"/>
        <w:numPr>
          <w:ilvl w:val="1"/>
          <w:numId w:val="3"/>
        </w:numPr>
      </w:pPr>
      <w:r>
        <w:t>Staff</w:t>
      </w:r>
      <w:r w:rsidR="005B60C7">
        <w:t xml:space="preserve"> propose to retain </w:t>
      </w:r>
      <w:r w:rsidR="00466637">
        <w:t>the current</w:t>
      </w:r>
      <w:r w:rsidR="005B60C7">
        <w:t xml:space="preserve"> assessment method for the </w:t>
      </w:r>
      <w:r w:rsidR="00CD3716">
        <w:t xml:space="preserve">concessions component in the </w:t>
      </w:r>
      <w:r w:rsidR="005B60C7">
        <w:t xml:space="preserve">2020 Review. </w:t>
      </w:r>
      <w:r w:rsidR="00CD3716">
        <w:t xml:space="preserve">That assessment is based on </w:t>
      </w:r>
      <w:r w:rsidR="00CD3716" w:rsidRPr="00CD3716">
        <w:rPr>
          <w:sz w:val="23"/>
          <w:szCs w:val="23"/>
        </w:rPr>
        <w:t xml:space="preserve">the number of pensioner concession card and health care card holders in each State as a proportion of State population. This is </w:t>
      </w:r>
      <w:r w:rsidR="005B60C7">
        <w:t xml:space="preserve">a </w:t>
      </w:r>
      <w:r w:rsidR="00C4554D">
        <w:t xml:space="preserve">relevant and </w:t>
      </w:r>
      <w:r w:rsidR="005B60C7">
        <w:t xml:space="preserve">policy neutral indicator </w:t>
      </w:r>
      <w:r w:rsidR="00C4554D">
        <w:t xml:space="preserve">because </w:t>
      </w:r>
      <w:r w:rsidR="005B60C7">
        <w:t xml:space="preserve">while the eligibility criteria and entitlements </w:t>
      </w:r>
      <w:r w:rsidR="00C4554D">
        <w:t xml:space="preserve">differ across </w:t>
      </w:r>
      <w:r w:rsidR="005B60C7">
        <w:t>State</w:t>
      </w:r>
      <w:r w:rsidR="00C4554D">
        <w:t>s</w:t>
      </w:r>
      <w:r w:rsidR="005B60C7">
        <w:t xml:space="preserve">, all States offer concessions to individuals with Commonwealth Pensioner Concession Cards and </w:t>
      </w:r>
      <w:r w:rsidR="00C4554D">
        <w:t>most</w:t>
      </w:r>
      <w:r w:rsidR="005B60C7">
        <w:t xml:space="preserve"> also offer concessions to Commonwealth Health Care Card holders (</w:t>
      </w:r>
      <w:r w:rsidR="005B60C7">
        <w:fldChar w:fldCharType="begin"/>
      </w:r>
      <w:r w:rsidR="005B60C7">
        <w:instrText xml:space="preserve"> REF _Ref439764700 \h </w:instrText>
      </w:r>
      <w:r w:rsidR="005B60C7">
        <w:fldChar w:fldCharType="separate"/>
      </w:r>
      <w:r w:rsidR="00835CFE">
        <w:t xml:space="preserve">Table </w:t>
      </w:r>
      <w:r w:rsidR="00835CFE">
        <w:rPr>
          <w:noProof/>
        </w:rPr>
        <w:t>8</w:t>
      </w:r>
      <w:r w:rsidR="005B60C7">
        <w:fldChar w:fldCharType="end"/>
      </w:r>
      <w:r w:rsidR="005B60C7">
        <w:t xml:space="preserve">). </w:t>
      </w:r>
    </w:p>
    <w:p w:rsidR="00C4554D" w:rsidRDefault="00C4554D" w:rsidP="00C4554D">
      <w:pPr>
        <w:pStyle w:val="CGCNumberedPara"/>
        <w:numPr>
          <w:ilvl w:val="1"/>
          <w:numId w:val="3"/>
        </w:numPr>
      </w:pPr>
      <w:r w:rsidRPr="00343C1E">
        <w:t xml:space="preserve">Concessions do not vary by location other than in Western Australia, where a higher water consumption rebate is available </w:t>
      </w:r>
      <w:r>
        <w:t xml:space="preserve">to </w:t>
      </w:r>
      <w:r w:rsidRPr="00343C1E">
        <w:t xml:space="preserve">those living in regions other than in the metropolitan area. An air conditioning rebate is also available to concession card holders (not Seniors Cards) living in areas of </w:t>
      </w:r>
      <w:r>
        <w:t>Western Australia</w:t>
      </w:r>
      <w:r w:rsidRPr="00343C1E">
        <w:t xml:space="preserve"> that experience prolonged periods of heat discomfort.</w:t>
      </w:r>
    </w:p>
    <w:p w:rsidR="00C4554D" w:rsidRDefault="00C4554D" w:rsidP="00C4554D"/>
    <w:tbl>
      <w:tblPr>
        <w:tblStyle w:val="TableGrid"/>
        <w:tblW w:w="0" w:type="auto"/>
        <w:tblLook w:val="04A0" w:firstRow="1" w:lastRow="0" w:firstColumn="1" w:lastColumn="0" w:noHBand="0" w:noVBand="1"/>
      </w:tblPr>
      <w:tblGrid>
        <w:gridCol w:w="9167"/>
      </w:tblGrid>
      <w:tr w:rsidR="00C4554D" w:rsidTr="00011140">
        <w:tc>
          <w:tcPr>
            <w:tcW w:w="9167" w:type="dxa"/>
            <w:tcBorders>
              <w:top w:val="nil"/>
              <w:left w:val="nil"/>
              <w:bottom w:val="nil"/>
              <w:right w:val="nil"/>
            </w:tcBorders>
            <w:shd w:val="clear" w:color="auto" w:fill="D9F3E6"/>
          </w:tcPr>
          <w:p w:rsidR="00C4554D" w:rsidRDefault="00C4554D" w:rsidP="00011140">
            <w:r>
              <w:t>Staff propose to recommend the C</w:t>
            </w:r>
            <w:r w:rsidRPr="00741FF2">
              <w:t>ommission</w:t>
            </w:r>
            <w:r>
              <w:t>:</w:t>
            </w:r>
          </w:p>
          <w:p w:rsidR="00C4554D" w:rsidRDefault="00C4554D" w:rsidP="00C4554D">
            <w:pPr>
              <w:pStyle w:val="CGCBulletlist"/>
            </w:pPr>
            <w:r>
              <w:rPr>
                <w:lang w:val="en-US"/>
              </w:rPr>
              <w:t>retain the current assessment methodology for</w:t>
            </w:r>
            <w:r w:rsidRPr="00741FF2">
              <w:rPr>
                <w:lang w:val="en-US"/>
              </w:rPr>
              <w:t xml:space="preserve"> concessions</w:t>
            </w:r>
            <w:r>
              <w:rPr>
                <w:lang w:val="en-US"/>
              </w:rPr>
              <w:t>.</w:t>
            </w:r>
          </w:p>
        </w:tc>
      </w:tr>
    </w:tbl>
    <w:p w:rsidR="005B60C7" w:rsidRDefault="005B60C7" w:rsidP="005B60C7">
      <w:pPr>
        <w:pStyle w:val="Caption"/>
      </w:pPr>
      <w:bookmarkStart w:id="103" w:name="_Ref439764700"/>
      <w:r>
        <w:lastRenderedPageBreak/>
        <w:t xml:space="preserve">Table </w:t>
      </w:r>
      <w:r w:rsidR="00101636">
        <w:fldChar w:fldCharType="begin"/>
      </w:r>
      <w:r w:rsidR="00101636">
        <w:instrText xml:space="preserve"> SEQ Table \* ARABIC </w:instrText>
      </w:r>
      <w:r w:rsidR="00101636">
        <w:fldChar w:fldCharType="separate"/>
      </w:r>
      <w:r w:rsidR="00835CFE">
        <w:rPr>
          <w:noProof/>
        </w:rPr>
        <w:t>8</w:t>
      </w:r>
      <w:r w:rsidR="00101636">
        <w:rPr>
          <w:noProof/>
        </w:rPr>
        <w:fldChar w:fldCharType="end"/>
      </w:r>
      <w:bookmarkEnd w:id="103"/>
      <w:r>
        <w:tab/>
        <w:t>State eligibility criteria for concessions</w:t>
      </w:r>
    </w:p>
    <w:tbl>
      <w:tblPr>
        <w:tblW w:w="4978" w:type="pct"/>
        <w:tblLayout w:type="fixed"/>
        <w:tblCellMar>
          <w:left w:w="85" w:type="dxa"/>
          <w:right w:w="85" w:type="dxa"/>
        </w:tblCellMar>
        <w:tblLook w:val="0000" w:firstRow="0" w:lastRow="0" w:firstColumn="0" w:lastColumn="0" w:noHBand="0" w:noVBand="0"/>
      </w:tblPr>
      <w:tblGrid>
        <w:gridCol w:w="1508"/>
        <w:gridCol w:w="947"/>
        <w:gridCol w:w="947"/>
        <w:gridCol w:w="947"/>
        <w:gridCol w:w="947"/>
        <w:gridCol w:w="947"/>
        <w:gridCol w:w="946"/>
        <w:gridCol w:w="946"/>
        <w:gridCol w:w="946"/>
      </w:tblGrid>
      <w:tr w:rsidR="005B60C7" w:rsidRPr="00802AC1" w:rsidTr="00EE1F28">
        <w:tc>
          <w:tcPr>
            <w:tcW w:w="830" w:type="pct"/>
            <w:tcBorders>
              <w:top w:val="single" w:sz="6" w:space="0" w:color="auto"/>
              <w:bottom w:val="single" w:sz="6" w:space="0" w:color="auto"/>
            </w:tcBorders>
            <w:vAlign w:val="bottom"/>
          </w:tcPr>
          <w:p w:rsidR="005B60C7" w:rsidRPr="00802AC1" w:rsidRDefault="005B60C7" w:rsidP="00EE1F28">
            <w:pPr>
              <w:pStyle w:val="CGCTableStub"/>
              <w:rPr>
                <w:rFonts w:cstheme="minorHAnsi"/>
              </w:rPr>
            </w:pP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NSW</w:t>
            </w: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Vic</w:t>
            </w: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Qld</w:t>
            </w: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WA</w:t>
            </w: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SA</w:t>
            </w: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Tas</w:t>
            </w: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ACT</w:t>
            </w:r>
          </w:p>
        </w:tc>
        <w:tc>
          <w:tcPr>
            <w:tcW w:w="521" w:type="pct"/>
            <w:tcBorders>
              <w:top w:val="single" w:sz="6" w:space="0" w:color="auto"/>
              <w:bottom w:val="single" w:sz="6" w:space="0" w:color="auto"/>
            </w:tcBorders>
            <w:vAlign w:val="bottom"/>
          </w:tcPr>
          <w:p w:rsidR="005B60C7" w:rsidRPr="00802AC1" w:rsidRDefault="005B60C7" w:rsidP="00EE1F28">
            <w:pPr>
              <w:pStyle w:val="TableColHeadings"/>
              <w:rPr>
                <w:rFonts w:cstheme="minorHAnsi"/>
              </w:rPr>
            </w:pPr>
            <w:r w:rsidRPr="00802AC1">
              <w:rPr>
                <w:rFonts w:cstheme="minorHAnsi"/>
              </w:rPr>
              <w:t>NT</w:t>
            </w:r>
          </w:p>
        </w:tc>
      </w:tr>
      <w:tr w:rsidR="005B60C7" w:rsidRPr="00802AC1" w:rsidTr="00EE1F28">
        <w:tc>
          <w:tcPr>
            <w:tcW w:w="830" w:type="pct"/>
          </w:tcPr>
          <w:p w:rsidR="005B60C7" w:rsidRPr="00802AC1" w:rsidRDefault="005B60C7" w:rsidP="009B7CBA">
            <w:pPr>
              <w:pStyle w:val="CGCTableStub"/>
              <w:tabs>
                <w:tab w:val="left" w:pos="142"/>
                <w:tab w:val="left" w:pos="425"/>
                <w:tab w:val="left" w:pos="709"/>
                <w:tab w:val="left" w:pos="851"/>
              </w:tabs>
              <w:spacing w:line="240" w:lineRule="auto"/>
              <w:ind w:left="142" w:hanging="142"/>
              <w:rPr>
                <w:rFonts w:cstheme="minorHAnsi"/>
              </w:rPr>
            </w:pPr>
            <w:r>
              <w:rPr>
                <w:rFonts w:cstheme="minorHAnsi"/>
              </w:rPr>
              <w:t>Electricity and other energy</w:t>
            </w:r>
          </w:p>
        </w:tc>
        <w:tc>
          <w:tcPr>
            <w:tcW w:w="521" w:type="pct"/>
          </w:tcPr>
          <w:p w:rsidR="005B60C7" w:rsidRPr="00802AC1" w:rsidRDefault="005B60C7" w:rsidP="009B7CBA">
            <w:pPr>
              <w:pStyle w:val="TableRowNormal"/>
              <w:spacing w:line="240" w:lineRule="auto"/>
              <w:ind w:left="0" w:firstLine="0"/>
              <w:rPr>
                <w:rFonts w:cstheme="minorHAnsi"/>
              </w:rPr>
            </w:pPr>
            <w:r>
              <w:rPr>
                <w:rFonts w:cstheme="minorHAnsi"/>
              </w:rPr>
              <w:t>PCC/HCC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C/HCC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w:t>
            </w:r>
            <w:r>
              <w:rPr>
                <w:rFonts w:cstheme="minorHAnsi"/>
              </w:rPr>
              <w:t>/SC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PC</w:t>
            </w:r>
            <w:r>
              <w:rPr>
                <w:rFonts w:cstheme="minorHAnsi"/>
              </w:rPr>
              <w:t>C</w:t>
            </w:r>
            <w:r w:rsidRPr="00DD5B73">
              <w:rPr>
                <w:rFonts w:cstheme="minorHAnsi"/>
              </w:rPr>
              <w:t>/</w:t>
            </w:r>
            <w:r>
              <w:rPr>
                <w:rFonts w:cstheme="minorHAnsi"/>
              </w:rPr>
              <w:br/>
            </w:r>
            <w:r w:rsidRPr="00DD5B73">
              <w:rPr>
                <w:rFonts w:cstheme="minorHAnsi"/>
              </w:rPr>
              <w:t>HCC</w:t>
            </w:r>
            <w:r>
              <w:rPr>
                <w:rFonts w:cstheme="minorHAnsi"/>
              </w:rPr>
              <w:t>/</w:t>
            </w:r>
            <w:r>
              <w:rPr>
                <w:rFonts w:cstheme="minorHAnsi"/>
              </w:rPr>
              <w:br/>
              <w:t>CSHC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C/HCC</w:t>
            </w:r>
            <w:r>
              <w:rPr>
                <w:rFonts w:cstheme="minorHAnsi"/>
              </w:rPr>
              <w:t xml:space="preserve"> (c)/</w:t>
            </w:r>
            <w:r>
              <w:rPr>
                <w:rFonts w:cstheme="minorHAnsi"/>
              </w:rPr>
              <w:br/>
              <w:t>CSHC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PC</w:t>
            </w:r>
            <w:r>
              <w:rPr>
                <w:rFonts w:cstheme="minorHAnsi"/>
              </w:rPr>
              <w:t>C</w:t>
            </w:r>
            <w:r w:rsidRPr="00DD5B73">
              <w:rPr>
                <w:rFonts w:cstheme="minorHAnsi"/>
              </w:rPr>
              <w:t>/</w:t>
            </w:r>
            <w:r>
              <w:rPr>
                <w:rFonts w:cstheme="minorHAnsi"/>
              </w:rPr>
              <w:br/>
            </w:r>
            <w:r w:rsidRPr="00DD5B73">
              <w:rPr>
                <w:rFonts w:cstheme="minorHAnsi"/>
              </w:rPr>
              <w:t>HCC</w:t>
            </w:r>
            <w:r>
              <w:rPr>
                <w:rFonts w:cstheme="minorHAnsi"/>
              </w:rPr>
              <w:t>/SC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C/HCC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PC</w:t>
            </w:r>
            <w:r>
              <w:rPr>
                <w:rFonts w:cstheme="minorHAnsi"/>
              </w:rPr>
              <w:t>C</w:t>
            </w:r>
            <w:r w:rsidRPr="00DD5B73">
              <w:rPr>
                <w:rFonts w:cstheme="minorHAnsi"/>
              </w:rPr>
              <w:t>/</w:t>
            </w:r>
            <w:r>
              <w:rPr>
                <w:rFonts w:cstheme="minorHAnsi"/>
              </w:rPr>
              <w:br/>
            </w:r>
            <w:r w:rsidRPr="00DD5B73">
              <w:rPr>
                <w:rFonts w:cstheme="minorHAnsi"/>
              </w:rPr>
              <w:t>HCC</w:t>
            </w:r>
            <w:r>
              <w:rPr>
                <w:rFonts w:cstheme="minorHAnsi"/>
              </w:rPr>
              <w:t>/</w:t>
            </w:r>
            <w:r>
              <w:rPr>
                <w:rFonts w:cstheme="minorHAnsi"/>
              </w:rPr>
              <w:br/>
              <w:t>CSHC</w:t>
            </w:r>
          </w:p>
        </w:tc>
      </w:tr>
      <w:tr w:rsidR="005B60C7" w:rsidRPr="00802AC1" w:rsidTr="00EE1F28">
        <w:tc>
          <w:tcPr>
            <w:tcW w:w="830" w:type="pct"/>
          </w:tcPr>
          <w:p w:rsidR="005B60C7" w:rsidRPr="00802AC1" w:rsidRDefault="005B60C7" w:rsidP="009B7CBA">
            <w:pPr>
              <w:pStyle w:val="CGCTableStub"/>
              <w:tabs>
                <w:tab w:val="left" w:pos="142"/>
                <w:tab w:val="left" w:pos="425"/>
                <w:tab w:val="left" w:pos="709"/>
                <w:tab w:val="left" w:pos="851"/>
              </w:tabs>
              <w:spacing w:line="240" w:lineRule="auto"/>
              <w:ind w:left="142" w:hanging="142"/>
              <w:rPr>
                <w:rFonts w:cstheme="minorHAnsi"/>
              </w:rPr>
            </w:pPr>
            <w:r>
              <w:rPr>
                <w:rFonts w:cstheme="minorHAnsi"/>
              </w:rPr>
              <w:t>Water and wastewater</w:t>
            </w:r>
          </w:p>
        </w:tc>
        <w:tc>
          <w:tcPr>
            <w:tcW w:w="521" w:type="pct"/>
          </w:tcPr>
          <w:p w:rsidR="005B60C7" w:rsidRPr="00802AC1" w:rsidRDefault="005B60C7" w:rsidP="009B7CBA">
            <w:pPr>
              <w:pStyle w:val="TableRowNormal"/>
              <w:spacing w:line="240" w:lineRule="auto"/>
              <w:ind w:left="0" w:firstLine="0"/>
              <w:rPr>
                <w:rFonts w:cstheme="minorHAnsi"/>
              </w:rPr>
            </w:pPr>
            <w:r>
              <w:rPr>
                <w:rFonts w:cstheme="minorHAnsi"/>
              </w:rPr>
              <w:t>PCC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C/HCC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w:t>
            </w:r>
          </w:p>
        </w:tc>
        <w:tc>
          <w:tcPr>
            <w:tcW w:w="521" w:type="pct"/>
          </w:tcPr>
          <w:p w:rsidR="005B60C7" w:rsidRPr="00CE2F41" w:rsidRDefault="005B60C7" w:rsidP="009B7CBA">
            <w:pPr>
              <w:pStyle w:val="TableRowNormal"/>
              <w:spacing w:line="240" w:lineRule="auto"/>
              <w:ind w:left="0" w:firstLine="0"/>
              <w:rPr>
                <w:rFonts w:cstheme="minorHAnsi"/>
              </w:rPr>
            </w:pPr>
            <w:r>
              <w:t>PCC/</w:t>
            </w:r>
            <w:r>
              <w:br/>
              <w:t>CSHC/</w:t>
            </w:r>
            <w:r>
              <w:br/>
              <w:t>SC</w:t>
            </w:r>
            <w:r>
              <w:rPr>
                <w:rFonts w:cstheme="minorHAnsi"/>
              </w:rPr>
              <w:t xml:space="preserve"> (b)</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C/HCC</w:t>
            </w:r>
            <w:r>
              <w:rPr>
                <w:rFonts w:cstheme="minorHAnsi"/>
              </w:rPr>
              <w:t xml:space="preserve"> (c)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C/HCC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C/HCC</w:t>
            </w:r>
          </w:p>
        </w:tc>
        <w:tc>
          <w:tcPr>
            <w:tcW w:w="521" w:type="pct"/>
          </w:tcPr>
          <w:p w:rsidR="005B60C7" w:rsidRPr="00CE2F41" w:rsidRDefault="005B60C7" w:rsidP="009B7CBA">
            <w:pPr>
              <w:pStyle w:val="TableRowNormal"/>
              <w:spacing w:line="240" w:lineRule="auto"/>
              <w:ind w:left="0" w:firstLine="0"/>
              <w:rPr>
                <w:rFonts w:cstheme="minorHAnsi"/>
              </w:rPr>
            </w:pPr>
            <w:r w:rsidRPr="00DD5B73">
              <w:rPr>
                <w:rFonts w:cstheme="minorHAnsi"/>
              </w:rPr>
              <w:t>PC</w:t>
            </w:r>
            <w:r>
              <w:rPr>
                <w:rFonts w:cstheme="minorHAnsi"/>
              </w:rPr>
              <w:t>C</w:t>
            </w:r>
            <w:r w:rsidRPr="00DD5B73">
              <w:rPr>
                <w:rFonts w:cstheme="minorHAnsi"/>
              </w:rPr>
              <w:t>/</w:t>
            </w:r>
            <w:r>
              <w:rPr>
                <w:rFonts w:cstheme="minorHAnsi"/>
              </w:rPr>
              <w:br/>
            </w:r>
            <w:r w:rsidRPr="00DD5B73">
              <w:rPr>
                <w:rFonts w:cstheme="minorHAnsi"/>
              </w:rPr>
              <w:t>HCC</w:t>
            </w:r>
            <w:r>
              <w:rPr>
                <w:rFonts w:cstheme="minorHAnsi"/>
              </w:rPr>
              <w:t>/</w:t>
            </w:r>
            <w:r>
              <w:rPr>
                <w:rFonts w:cstheme="minorHAnsi"/>
              </w:rPr>
              <w:br/>
              <w:t>CSHC</w:t>
            </w:r>
          </w:p>
        </w:tc>
      </w:tr>
      <w:tr w:rsidR="005B60C7" w:rsidRPr="00802AC1" w:rsidTr="00EE1F28">
        <w:tc>
          <w:tcPr>
            <w:tcW w:w="830" w:type="pct"/>
            <w:tcBorders>
              <w:bottom w:val="single" w:sz="4" w:space="0" w:color="auto"/>
            </w:tcBorders>
          </w:tcPr>
          <w:p w:rsidR="005B60C7" w:rsidRDefault="005B60C7" w:rsidP="009B7CBA">
            <w:pPr>
              <w:pStyle w:val="CGCTableStub"/>
              <w:tabs>
                <w:tab w:val="left" w:pos="142"/>
                <w:tab w:val="left" w:pos="425"/>
                <w:tab w:val="left" w:pos="709"/>
                <w:tab w:val="left" w:pos="851"/>
              </w:tabs>
              <w:spacing w:line="240" w:lineRule="auto"/>
              <w:ind w:left="142" w:hanging="142"/>
              <w:rPr>
                <w:rFonts w:cstheme="minorHAnsi"/>
              </w:rPr>
            </w:pPr>
            <w:r>
              <w:rPr>
                <w:rFonts w:cstheme="minorHAnsi"/>
              </w:rPr>
              <w:t>Rates</w:t>
            </w:r>
          </w:p>
        </w:tc>
        <w:tc>
          <w:tcPr>
            <w:tcW w:w="521" w:type="pct"/>
            <w:tcBorders>
              <w:bottom w:val="single" w:sz="4" w:space="0" w:color="auto"/>
            </w:tcBorders>
          </w:tcPr>
          <w:p w:rsidR="005B60C7" w:rsidRDefault="005B60C7" w:rsidP="009B7CBA">
            <w:pPr>
              <w:pStyle w:val="TableRowNormal"/>
              <w:spacing w:line="240" w:lineRule="auto"/>
              <w:ind w:left="0" w:firstLine="0"/>
              <w:rPr>
                <w:rFonts w:cstheme="minorHAnsi"/>
              </w:rPr>
            </w:pPr>
            <w:r>
              <w:rPr>
                <w:rFonts w:cstheme="minorHAnsi"/>
              </w:rPr>
              <w:t>PCC</w:t>
            </w:r>
          </w:p>
        </w:tc>
        <w:tc>
          <w:tcPr>
            <w:tcW w:w="521" w:type="pct"/>
            <w:tcBorders>
              <w:bottom w:val="single" w:sz="4" w:space="0" w:color="auto"/>
            </w:tcBorders>
          </w:tcPr>
          <w:p w:rsidR="005B60C7" w:rsidRPr="00DD5B73" w:rsidRDefault="005B60C7" w:rsidP="009B7CBA">
            <w:pPr>
              <w:pStyle w:val="TableRowNormal"/>
              <w:spacing w:line="240" w:lineRule="auto"/>
              <w:ind w:left="0" w:firstLine="0"/>
              <w:rPr>
                <w:rFonts w:cstheme="minorHAnsi"/>
              </w:rPr>
            </w:pPr>
            <w:r>
              <w:rPr>
                <w:rFonts w:cstheme="minorHAnsi"/>
              </w:rPr>
              <w:t>PCC</w:t>
            </w:r>
          </w:p>
        </w:tc>
        <w:tc>
          <w:tcPr>
            <w:tcW w:w="521" w:type="pct"/>
            <w:tcBorders>
              <w:bottom w:val="single" w:sz="4" w:space="0" w:color="auto"/>
            </w:tcBorders>
          </w:tcPr>
          <w:p w:rsidR="005B60C7" w:rsidRPr="00DD5B73" w:rsidRDefault="005B60C7" w:rsidP="009B7CBA">
            <w:pPr>
              <w:pStyle w:val="TableRowNormal"/>
              <w:spacing w:line="240" w:lineRule="auto"/>
              <w:ind w:left="0" w:firstLine="0"/>
              <w:rPr>
                <w:rFonts w:cstheme="minorHAnsi"/>
              </w:rPr>
            </w:pPr>
            <w:r>
              <w:rPr>
                <w:rFonts w:cstheme="minorHAnsi"/>
              </w:rPr>
              <w:t>PCC</w:t>
            </w:r>
          </w:p>
        </w:tc>
        <w:tc>
          <w:tcPr>
            <w:tcW w:w="521" w:type="pct"/>
            <w:tcBorders>
              <w:bottom w:val="single" w:sz="4" w:space="0" w:color="auto"/>
            </w:tcBorders>
          </w:tcPr>
          <w:p w:rsidR="005B60C7" w:rsidRPr="00DD5B73" w:rsidRDefault="005B60C7" w:rsidP="009B7CBA">
            <w:pPr>
              <w:pStyle w:val="TableRowNormal"/>
              <w:spacing w:line="240" w:lineRule="auto"/>
              <w:ind w:left="0" w:firstLine="0"/>
              <w:rPr>
                <w:rFonts w:cstheme="minorHAnsi"/>
              </w:rPr>
            </w:pPr>
            <w:r>
              <w:rPr>
                <w:rFonts w:cstheme="minorHAnsi"/>
              </w:rPr>
              <w:t>PCC/</w:t>
            </w:r>
            <w:r>
              <w:rPr>
                <w:rFonts w:cstheme="minorHAnsi"/>
              </w:rPr>
              <w:br/>
              <w:t>CSHC/</w:t>
            </w:r>
            <w:r>
              <w:rPr>
                <w:rFonts w:cstheme="minorHAnsi"/>
              </w:rPr>
              <w:br/>
              <w:t>SC (b)</w:t>
            </w:r>
          </w:p>
        </w:tc>
        <w:tc>
          <w:tcPr>
            <w:tcW w:w="521" w:type="pct"/>
            <w:tcBorders>
              <w:bottom w:val="single" w:sz="4" w:space="0" w:color="auto"/>
            </w:tcBorders>
          </w:tcPr>
          <w:p w:rsidR="005B60C7" w:rsidRPr="00DD5B73" w:rsidRDefault="005B60C7" w:rsidP="009B7CBA">
            <w:pPr>
              <w:pStyle w:val="TableRowNormal"/>
              <w:spacing w:line="240" w:lineRule="auto"/>
              <w:ind w:left="0" w:firstLine="0"/>
              <w:rPr>
                <w:rFonts w:cstheme="minorHAnsi"/>
              </w:rPr>
            </w:pPr>
            <w:r>
              <w:rPr>
                <w:rFonts w:cstheme="minorHAnsi"/>
              </w:rPr>
              <w:t>(a)</w:t>
            </w:r>
          </w:p>
        </w:tc>
        <w:tc>
          <w:tcPr>
            <w:tcW w:w="521" w:type="pct"/>
            <w:tcBorders>
              <w:bottom w:val="single" w:sz="4" w:space="0" w:color="auto"/>
            </w:tcBorders>
          </w:tcPr>
          <w:p w:rsidR="005B60C7" w:rsidRPr="00DD5B73" w:rsidRDefault="005B60C7" w:rsidP="009B7CBA">
            <w:pPr>
              <w:pStyle w:val="TableRowNormal"/>
              <w:spacing w:line="240" w:lineRule="auto"/>
              <w:ind w:left="0" w:firstLine="0"/>
              <w:rPr>
                <w:rFonts w:cstheme="minorHAnsi"/>
              </w:rPr>
            </w:pPr>
            <w:r w:rsidRPr="00DD5B73">
              <w:rPr>
                <w:rFonts w:cstheme="minorHAnsi"/>
              </w:rPr>
              <w:t>PC</w:t>
            </w:r>
            <w:r>
              <w:rPr>
                <w:rFonts w:cstheme="minorHAnsi"/>
              </w:rPr>
              <w:t>C</w:t>
            </w:r>
            <w:r w:rsidRPr="00DD5B73">
              <w:rPr>
                <w:rFonts w:cstheme="minorHAnsi"/>
              </w:rPr>
              <w:t>/HCC</w:t>
            </w:r>
          </w:p>
        </w:tc>
        <w:tc>
          <w:tcPr>
            <w:tcW w:w="521" w:type="pct"/>
            <w:tcBorders>
              <w:bottom w:val="single" w:sz="4" w:space="0" w:color="auto"/>
            </w:tcBorders>
          </w:tcPr>
          <w:p w:rsidR="005B60C7" w:rsidRPr="00DD5B73" w:rsidRDefault="005B60C7" w:rsidP="009B7CBA">
            <w:pPr>
              <w:pStyle w:val="TableRowNormal"/>
              <w:spacing w:line="240" w:lineRule="auto"/>
              <w:ind w:left="0" w:firstLine="0"/>
              <w:rPr>
                <w:rFonts w:cstheme="minorHAnsi"/>
              </w:rPr>
            </w:pPr>
            <w:r>
              <w:rPr>
                <w:rFonts w:cstheme="minorHAnsi"/>
              </w:rPr>
              <w:t>PCC</w:t>
            </w:r>
          </w:p>
        </w:tc>
        <w:tc>
          <w:tcPr>
            <w:tcW w:w="521" w:type="pct"/>
            <w:tcBorders>
              <w:bottom w:val="single" w:sz="4" w:space="0" w:color="auto"/>
            </w:tcBorders>
          </w:tcPr>
          <w:p w:rsidR="005B60C7" w:rsidRPr="00DD5B73" w:rsidRDefault="005B60C7" w:rsidP="009B7CBA">
            <w:pPr>
              <w:pStyle w:val="TableRowNormal"/>
              <w:spacing w:line="240" w:lineRule="auto"/>
              <w:ind w:left="0" w:firstLine="0"/>
              <w:rPr>
                <w:rFonts w:cstheme="minorHAnsi"/>
              </w:rPr>
            </w:pPr>
            <w:r w:rsidRPr="00DD5B73">
              <w:rPr>
                <w:rFonts w:cstheme="minorHAnsi"/>
              </w:rPr>
              <w:t>P</w:t>
            </w:r>
            <w:r>
              <w:rPr>
                <w:rFonts w:cstheme="minorHAnsi"/>
              </w:rPr>
              <w:t>C</w:t>
            </w:r>
            <w:r w:rsidRPr="00DD5B73">
              <w:rPr>
                <w:rFonts w:cstheme="minorHAnsi"/>
              </w:rPr>
              <w:t>C/</w:t>
            </w:r>
            <w:r>
              <w:rPr>
                <w:rFonts w:cstheme="minorHAnsi"/>
              </w:rPr>
              <w:br/>
            </w:r>
            <w:r w:rsidRPr="00DD5B73">
              <w:rPr>
                <w:rFonts w:cstheme="minorHAnsi"/>
              </w:rPr>
              <w:t>HCC</w:t>
            </w:r>
            <w:r>
              <w:rPr>
                <w:rFonts w:cstheme="minorHAnsi"/>
              </w:rPr>
              <w:t>/</w:t>
            </w:r>
            <w:r>
              <w:rPr>
                <w:rFonts w:cstheme="minorHAnsi"/>
              </w:rPr>
              <w:br/>
              <w:t>CSHC</w:t>
            </w:r>
          </w:p>
        </w:tc>
      </w:tr>
    </w:tbl>
    <w:p w:rsidR="005B60C7" w:rsidRDefault="005B60C7" w:rsidP="005B60C7">
      <w:pPr>
        <w:pStyle w:val="CGCTableFootnote"/>
        <w:keepNext/>
      </w:pPr>
      <w:r>
        <w:t>Notes:</w:t>
      </w:r>
      <w:r>
        <w:tab/>
        <w:t xml:space="preserve">PCC = Pensioner Concession Card, HCC = Health Care Card, CSHS = Commonwealth Seniors Health Card, SC = Seniors Card. </w:t>
      </w:r>
      <w:r>
        <w:br/>
        <w:t xml:space="preserve">Health Care Cards are issued automatically to people on Parenting Payment Partnered and various benefits and allowances including Newstart; low income earners may also be eligible for a Low Income Health Care Card. </w:t>
      </w:r>
      <w:r>
        <w:br/>
        <w:t xml:space="preserve">The Commonwealth Seniors Card eligibility is based on age and an income test. </w:t>
      </w:r>
    </w:p>
    <w:p w:rsidR="005B60C7" w:rsidRDefault="005B60C7" w:rsidP="005B60C7">
      <w:pPr>
        <w:pStyle w:val="CGCTableFootnote"/>
        <w:keepNext/>
      </w:pPr>
      <w:r w:rsidRPr="00911523">
        <w:tab/>
      </w:r>
      <w:r>
        <w:t>Senior</w:t>
      </w:r>
      <w:r w:rsidR="00D97140">
        <w:t>s Cards are available to those</w:t>
      </w:r>
      <w:r>
        <w:t xml:space="preserve"> </w:t>
      </w:r>
      <w:r w:rsidRPr="002D61EE">
        <w:t>60 years of age or over, and not working more than a set numbers of hours per week in paid employment</w:t>
      </w:r>
      <w:r>
        <w:t>.</w:t>
      </w:r>
    </w:p>
    <w:p w:rsidR="005B60C7" w:rsidRPr="00FA146E" w:rsidRDefault="005B60C7" w:rsidP="005B60C7">
      <w:pPr>
        <w:pStyle w:val="CGCTableFootnote"/>
        <w:keepNext/>
      </w:pPr>
      <w:r>
        <w:tab/>
        <w:t>DVA Gold Card holders are also eligible for most concessions.</w:t>
      </w:r>
    </w:p>
    <w:p w:rsidR="005B60C7" w:rsidRDefault="005B60C7" w:rsidP="005B60C7">
      <w:pPr>
        <w:pStyle w:val="CGCTableFootnote"/>
        <w:keepNext/>
      </w:pPr>
      <w:r>
        <w:t>(a)</w:t>
      </w:r>
      <w:r>
        <w:tab/>
        <w:t xml:space="preserve">South Australia ceased its rates </w:t>
      </w:r>
      <w:r w:rsidRPr="00C44E95">
        <w:t>concessions from 1 July 2015</w:t>
      </w:r>
      <w:r>
        <w:t xml:space="preserve"> but in its place it provides a Cost of Living Concession which can be put towards the area of greatest needs, whether that is electricity, gas and water bills or council rates.</w:t>
      </w:r>
    </w:p>
    <w:p w:rsidR="005B60C7" w:rsidRPr="007E156A" w:rsidRDefault="005B60C7" w:rsidP="005B60C7">
      <w:pPr>
        <w:pStyle w:val="CGCTableFootnote"/>
        <w:keepNext/>
      </w:pPr>
      <w:r>
        <w:t>(b)</w:t>
      </w:r>
      <w:r>
        <w:tab/>
        <w:t>Seniors Card holders are entitled to a lower concession than holders of a PCC or CSHC. Western Australia also provides a Cost of Living Rebate to Seniors Card holders.</w:t>
      </w:r>
    </w:p>
    <w:p w:rsidR="005B60C7" w:rsidRDefault="005B60C7" w:rsidP="005B60C7">
      <w:pPr>
        <w:pStyle w:val="CGCTableFootnote"/>
        <w:keepNext/>
      </w:pPr>
      <w:r>
        <w:t>(c)</w:t>
      </w:r>
      <w:r>
        <w:tab/>
        <w:t xml:space="preserve">Concession is available to holders of a Pensioner Concession Card and those receiving certain Centrelink payments. </w:t>
      </w:r>
    </w:p>
    <w:p w:rsidR="005B60C7" w:rsidRDefault="005B60C7" w:rsidP="005B60C7">
      <w:pPr>
        <w:pStyle w:val="CGCTableFootnote"/>
      </w:pPr>
      <w:r>
        <w:t>Source:</w:t>
      </w:r>
      <w:r>
        <w:tab/>
      </w:r>
      <w:r w:rsidRPr="002F5319">
        <w:t>State government and utility websites</w:t>
      </w:r>
      <w:r>
        <w:t>.</w:t>
      </w:r>
    </w:p>
    <w:p w:rsidR="00466637" w:rsidRDefault="00466637" w:rsidP="00466637"/>
    <w:p w:rsidR="00EE156F" w:rsidRPr="00EE156F" w:rsidRDefault="00EE156F" w:rsidP="009D249D">
      <w:pPr>
        <w:pStyle w:val="Heading5"/>
      </w:pPr>
      <w:r>
        <w:t>Other general welfare</w:t>
      </w:r>
    </w:p>
    <w:p w:rsidR="00ED08BB" w:rsidRDefault="00ED08BB" w:rsidP="00ED08BB">
      <w:pPr>
        <w:pStyle w:val="CGCNumberedPara"/>
        <w:numPr>
          <w:ilvl w:val="1"/>
          <w:numId w:val="3"/>
        </w:numPr>
      </w:pPr>
      <w:r w:rsidRPr="009279DD">
        <w:rPr>
          <w:iCs/>
        </w:rPr>
        <w:t xml:space="preserve">Staff have considered the option of re-allocating homelessness </w:t>
      </w:r>
      <w:r w:rsidR="00642728" w:rsidRPr="009279DD">
        <w:rPr>
          <w:iCs/>
        </w:rPr>
        <w:t xml:space="preserve">related </w:t>
      </w:r>
      <w:r w:rsidRPr="009279DD">
        <w:rPr>
          <w:iCs/>
        </w:rPr>
        <w:t xml:space="preserve">expenses to the housing category because services to the </w:t>
      </w:r>
      <w:r w:rsidR="00527E92">
        <w:t xml:space="preserve">homeless </w:t>
      </w:r>
      <w:r>
        <w:t xml:space="preserve">can be considered </w:t>
      </w:r>
      <w:r w:rsidR="00527E92">
        <w:t xml:space="preserve">another facet of </w:t>
      </w:r>
      <w:r w:rsidR="004A6F55">
        <w:t>services</w:t>
      </w:r>
      <w:r w:rsidR="00527E92">
        <w:t xml:space="preserve"> for social housing. </w:t>
      </w:r>
      <w:r w:rsidR="0087681B">
        <w:t>After investigating this option, i</w:t>
      </w:r>
      <w:r>
        <w:t xml:space="preserve">t </w:t>
      </w:r>
      <w:r w:rsidR="0087681B">
        <w:t>has</w:t>
      </w:r>
      <w:r>
        <w:t xml:space="preserve"> </w:t>
      </w:r>
      <w:r w:rsidR="0087681B">
        <w:t xml:space="preserve">become </w:t>
      </w:r>
      <w:r>
        <w:t xml:space="preserve">apparent that needs in relation to homelessness services differ from those relating to social housing, a point made by </w:t>
      </w:r>
      <w:r w:rsidRPr="003865D0">
        <w:t>Tasmania</w:t>
      </w:r>
      <w:r>
        <w:t>.</w:t>
      </w:r>
      <w:r w:rsidR="0087681B">
        <w:rPr>
          <w:rStyle w:val="FootnoteReference"/>
        </w:rPr>
        <w:footnoteReference w:id="8"/>
      </w:r>
      <w:r>
        <w:t xml:space="preserve"> </w:t>
      </w:r>
      <w:r w:rsidR="0087681B">
        <w:t xml:space="preserve">For example, services offered to the homeless may include counselling and </w:t>
      </w:r>
      <w:r w:rsidR="009279DD">
        <w:t xml:space="preserve">other </w:t>
      </w:r>
      <w:r w:rsidR="0087681B">
        <w:t>services in relation to</w:t>
      </w:r>
      <w:r w:rsidR="0087681B" w:rsidRPr="0087681B">
        <w:t xml:space="preserve"> </w:t>
      </w:r>
      <w:r w:rsidR="0087681B" w:rsidRPr="00DB682D">
        <w:t>drug and alcohol abuse, gambling, family and relationship breakdown, domestic violence and physical and sexual abuse</w:t>
      </w:r>
      <w:r w:rsidR="0087681B">
        <w:t>. Therefore, staff consider that it may not be appropriate to apply the social housing disabilities to services to the homeless expenses.</w:t>
      </w:r>
    </w:p>
    <w:p w:rsidR="007E42F4" w:rsidRDefault="0087681B" w:rsidP="000459E3">
      <w:pPr>
        <w:pStyle w:val="CGCNumberedPara"/>
        <w:numPr>
          <w:ilvl w:val="1"/>
          <w:numId w:val="3"/>
        </w:numPr>
      </w:pPr>
      <w:r>
        <w:t xml:space="preserve">Staff therefore propose to </w:t>
      </w:r>
      <w:r w:rsidR="00527E92">
        <w:t xml:space="preserve">retain homelessness </w:t>
      </w:r>
      <w:r w:rsidR="00B051F9">
        <w:t xml:space="preserve">related </w:t>
      </w:r>
      <w:r w:rsidR="00527E92">
        <w:t>expenses within</w:t>
      </w:r>
      <w:r w:rsidR="00E3583E">
        <w:t xml:space="preserve"> the other general welfare component and assess needs using a low SES measure</w:t>
      </w:r>
      <w:r w:rsidR="00527E92">
        <w:t xml:space="preserve">. </w:t>
      </w:r>
    </w:p>
    <w:p w:rsidR="00D3426E" w:rsidRDefault="00061BD4" w:rsidP="00061BD4">
      <w:pPr>
        <w:pStyle w:val="CGCNumberedPara"/>
      </w:pPr>
      <w:r>
        <w:lastRenderedPageBreak/>
        <w:t xml:space="preserve">The 2015 Review measure of low SES is based on </w:t>
      </w:r>
      <w:r w:rsidR="004A6F55">
        <w:t>the ABS SEIFI develop</w:t>
      </w:r>
      <w:r w:rsidR="009279DD">
        <w:t xml:space="preserve">ed using </w:t>
      </w:r>
      <w:r w:rsidR="004A6F55">
        <w:t>2006 </w:t>
      </w:r>
      <w:r>
        <w:t xml:space="preserve">Census data. Staff understand that the ABS is considering updating its SEIFI measure with 2016 Census data. </w:t>
      </w:r>
      <w:r w:rsidRPr="00061BD4">
        <w:t xml:space="preserve">If the ABS updates SEIFI, </w:t>
      </w:r>
      <w:r>
        <w:t xml:space="preserve">we would use it </w:t>
      </w:r>
      <w:r w:rsidR="00006F51">
        <w:t xml:space="preserve">in assessing </w:t>
      </w:r>
      <w:r>
        <w:t>other general welfare expenses. If an update</w:t>
      </w:r>
      <w:r w:rsidR="009279DD">
        <w:t>d</w:t>
      </w:r>
      <w:r>
        <w:t xml:space="preserve"> SEIFI is not available for the 2020</w:t>
      </w:r>
      <w:r w:rsidR="00B051F9">
        <w:t> </w:t>
      </w:r>
      <w:r>
        <w:t xml:space="preserve">Review, </w:t>
      </w:r>
      <w:r w:rsidRPr="00061BD4">
        <w:t xml:space="preserve">staff propose </w:t>
      </w:r>
      <w:r>
        <w:t xml:space="preserve">to use </w:t>
      </w:r>
      <w:r w:rsidRPr="00061BD4">
        <w:t>the relative proportion of State populations in the</w:t>
      </w:r>
      <w:r>
        <w:t xml:space="preserve"> </w:t>
      </w:r>
      <w:r w:rsidRPr="00061BD4">
        <w:t>bottom quintile</w:t>
      </w:r>
      <w:r>
        <w:t xml:space="preserve"> of the 2016 Census individual income</w:t>
      </w:r>
      <w:r w:rsidR="00B051F9">
        <w:t>, consistent with the SEIFI measure</w:t>
      </w:r>
      <w:r>
        <w:t>.</w:t>
      </w:r>
    </w:p>
    <w:p w:rsidR="00E3583E" w:rsidRDefault="00E3583E" w:rsidP="00E3583E">
      <w:pPr>
        <w:pStyle w:val="CGCNumberedPara"/>
        <w:numPr>
          <w:ilvl w:val="0"/>
          <w:numId w:val="0"/>
        </w:numPr>
        <w:ind w:left="567" w:hanging="567"/>
      </w:pPr>
    </w:p>
    <w:tbl>
      <w:tblPr>
        <w:tblW w:w="0" w:type="auto"/>
        <w:shd w:val="clear" w:color="auto" w:fill="D9F3E6"/>
        <w:tblLayout w:type="fixed"/>
        <w:tblLook w:val="0000" w:firstRow="0" w:lastRow="0" w:firstColumn="0" w:lastColumn="0" w:noHBand="0" w:noVBand="0"/>
      </w:tblPr>
      <w:tblGrid>
        <w:gridCol w:w="9167"/>
      </w:tblGrid>
      <w:tr w:rsidR="00D3426E" w:rsidRPr="005B5CD9" w:rsidTr="00D3426E">
        <w:tc>
          <w:tcPr>
            <w:tcW w:w="9167" w:type="dxa"/>
            <w:shd w:val="clear" w:color="auto" w:fill="D9F3E6"/>
          </w:tcPr>
          <w:tbl>
            <w:tblPr>
              <w:tblStyle w:val="TableGrid"/>
              <w:tblW w:w="0" w:type="auto"/>
              <w:tblLayout w:type="fixed"/>
              <w:tblLook w:val="04A0" w:firstRow="1" w:lastRow="0" w:firstColumn="1" w:lastColumn="0" w:noHBand="0" w:noVBand="1"/>
            </w:tblPr>
            <w:tblGrid>
              <w:gridCol w:w="9167"/>
            </w:tblGrid>
            <w:tr w:rsidR="00CC4C4A" w:rsidTr="00176609">
              <w:tc>
                <w:tcPr>
                  <w:tcW w:w="9167" w:type="dxa"/>
                  <w:tcBorders>
                    <w:top w:val="nil"/>
                    <w:left w:val="nil"/>
                    <w:bottom w:val="nil"/>
                    <w:right w:val="nil"/>
                  </w:tcBorders>
                  <w:shd w:val="clear" w:color="auto" w:fill="D9F3E6"/>
                </w:tcPr>
                <w:tbl>
                  <w:tblPr>
                    <w:tblStyle w:val="TableGrid"/>
                    <w:tblW w:w="0" w:type="auto"/>
                    <w:tblLayout w:type="fixed"/>
                    <w:tblLook w:val="04A0" w:firstRow="1" w:lastRow="0" w:firstColumn="1" w:lastColumn="0" w:noHBand="0" w:noVBand="1"/>
                  </w:tblPr>
                  <w:tblGrid>
                    <w:gridCol w:w="8951"/>
                  </w:tblGrid>
                  <w:tr w:rsidR="00CC4C4A" w:rsidTr="00176609">
                    <w:tc>
                      <w:tcPr>
                        <w:tcW w:w="8951" w:type="dxa"/>
                        <w:tcBorders>
                          <w:top w:val="nil"/>
                          <w:left w:val="nil"/>
                          <w:bottom w:val="nil"/>
                          <w:right w:val="nil"/>
                        </w:tcBorders>
                        <w:shd w:val="clear" w:color="auto" w:fill="D9F3E6"/>
                      </w:tcPr>
                      <w:p w:rsidR="00CC4C4A" w:rsidRDefault="00CC4C4A" w:rsidP="00176609">
                        <w:pPr>
                          <w:keepNext/>
                        </w:pPr>
                        <w:r w:rsidRPr="00741FF2">
                          <w:t xml:space="preserve">Staff propose to recommend the </w:t>
                        </w:r>
                        <w:r>
                          <w:t>C</w:t>
                        </w:r>
                        <w:r w:rsidRPr="00741FF2">
                          <w:t>ommission</w:t>
                        </w:r>
                        <w:r>
                          <w:t>:</w:t>
                        </w:r>
                      </w:p>
                      <w:p w:rsidR="00CC4C4A" w:rsidRDefault="00CC4C4A" w:rsidP="00CC4C4A">
                        <w:pPr>
                          <w:pStyle w:val="CGCBulletlist"/>
                          <w:keepNext/>
                        </w:pPr>
                        <w:r>
                          <w:t xml:space="preserve">retain homelessness </w:t>
                        </w:r>
                        <w:r w:rsidR="00061BD4">
                          <w:t xml:space="preserve">related </w:t>
                        </w:r>
                        <w:r>
                          <w:t xml:space="preserve">expenses within </w:t>
                        </w:r>
                        <w:r w:rsidR="00061BD4">
                          <w:t xml:space="preserve">the other general welfare component of </w:t>
                        </w:r>
                        <w:r>
                          <w:t>the Welfare category</w:t>
                        </w:r>
                      </w:p>
                      <w:p w:rsidR="00CC4C4A" w:rsidRDefault="00006F51" w:rsidP="00D76DEC">
                        <w:pPr>
                          <w:pStyle w:val="CGCBulletlist"/>
                          <w:keepNext/>
                        </w:pPr>
                        <w:r>
                          <w:t>i</w:t>
                        </w:r>
                        <w:r w:rsidR="00061BD4" w:rsidRPr="00061BD4">
                          <w:t xml:space="preserve">f the ABS updates SEIFI, </w:t>
                        </w:r>
                        <w:r w:rsidR="00061BD4">
                          <w:t xml:space="preserve">use it to measure needs </w:t>
                        </w:r>
                        <w:r w:rsidR="00D76DEC">
                          <w:t>f</w:t>
                        </w:r>
                        <w:r>
                          <w:t>or</w:t>
                        </w:r>
                        <w:r w:rsidR="00061BD4">
                          <w:t xml:space="preserve"> other general welfare expenses. If an update</w:t>
                        </w:r>
                        <w:r>
                          <w:t>d</w:t>
                        </w:r>
                        <w:r w:rsidR="00061BD4">
                          <w:t xml:space="preserve"> SEIFI is not available for the 2020 Review, use </w:t>
                        </w:r>
                        <w:r w:rsidR="00061BD4" w:rsidRPr="00061BD4">
                          <w:t>the relative proportions of State populations in the</w:t>
                        </w:r>
                        <w:r w:rsidR="00061BD4">
                          <w:t xml:space="preserve"> </w:t>
                        </w:r>
                        <w:r w:rsidR="00061BD4" w:rsidRPr="00061BD4">
                          <w:t>bottom quintile</w:t>
                        </w:r>
                        <w:r w:rsidR="00B051F9">
                          <w:t xml:space="preserve"> of the </w:t>
                        </w:r>
                        <w:r w:rsidR="00B051F9" w:rsidRPr="00B051F9">
                          <w:t>2016</w:t>
                        </w:r>
                        <w:r w:rsidR="00B051F9">
                          <w:t> </w:t>
                        </w:r>
                        <w:r w:rsidR="00061BD4" w:rsidRPr="00B051F9">
                          <w:t>Census</w:t>
                        </w:r>
                        <w:r w:rsidR="00061BD4">
                          <w:t xml:space="preserve"> individual income</w:t>
                        </w:r>
                        <w:r w:rsidR="00CC4C4A" w:rsidRPr="00D63268">
                          <w:t>.</w:t>
                        </w:r>
                      </w:p>
                    </w:tc>
                  </w:tr>
                </w:tbl>
                <w:p w:rsidR="00CC4C4A" w:rsidRDefault="00CC4C4A" w:rsidP="00176609">
                  <w:pPr>
                    <w:pStyle w:val="CGCBulletlist"/>
                    <w:keepNext/>
                    <w:numPr>
                      <w:ilvl w:val="0"/>
                      <w:numId w:val="0"/>
                    </w:numPr>
                    <w:ind w:left="1134"/>
                  </w:pPr>
                </w:p>
              </w:tc>
            </w:tr>
          </w:tbl>
          <w:p w:rsidR="00D3426E" w:rsidRPr="005B5CD9" w:rsidRDefault="00D3426E" w:rsidP="00D3426E">
            <w:pPr>
              <w:keepNext/>
            </w:pPr>
          </w:p>
        </w:tc>
      </w:tr>
    </w:tbl>
    <w:p w:rsidR="00A52E27" w:rsidRDefault="00A52E27" w:rsidP="00A52E27">
      <w:pPr>
        <w:pStyle w:val="Heading4"/>
      </w:pPr>
      <w:bookmarkStart w:id="104" w:name="_Toc511036011"/>
      <w:bookmarkStart w:id="105" w:name="_Toc511813736"/>
      <w:bookmarkStart w:id="106" w:name="_Toc511813751"/>
      <w:bookmarkStart w:id="107" w:name="_Toc511813832"/>
      <w:bookmarkStart w:id="108" w:name="_Toc511813926"/>
      <w:bookmarkStart w:id="109" w:name="_Toc511814012"/>
      <w:bookmarkStart w:id="110" w:name="_Toc511816541"/>
      <w:bookmarkStart w:id="111" w:name="_Toc511816556"/>
      <w:r>
        <w:t>User charges</w:t>
      </w:r>
      <w:bookmarkEnd w:id="104"/>
      <w:bookmarkEnd w:id="105"/>
      <w:bookmarkEnd w:id="106"/>
      <w:bookmarkEnd w:id="107"/>
      <w:bookmarkEnd w:id="108"/>
      <w:bookmarkEnd w:id="109"/>
      <w:bookmarkEnd w:id="110"/>
      <w:bookmarkEnd w:id="111"/>
    </w:p>
    <w:p w:rsidR="005A0B13" w:rsidRDefault="005A0B13" w:rsidP="005A0B13">
      <w:pPr>
        <w:pStyle w:val="CGCNumberedPara"/>
        <w:numPr>
          <w:ilvl w:val="1"/>
          <w:numId w:val="3"/>
        </w:numPr>
      </w:pPr>
      <w:r>
        <w:t>Staff</w:t>
      </w:r>
      <w:r w:rsidRPr="002D5ECA">
        <w:t xml:space="preserve"> consider </w:t>
      </w:r>
      <w:r>
        <w:t>that user charges</w:t>
      </w:r>
      <w:r w:rsidRPr="002D5ECA">
        <w:t xml:space="preserve"> are not affected by the same disabilities used to assess the various components of welfare expenses. The amounts involved are small (less than 2% of category expenses) and a significant proportion of them relate to aged care</w:t>
      </w:r>
      <w:r w:rsidR="00006F51">
        <w:t xml:space="preserve"> services</w:t>
      </w:r>
      <w:r w:rsidRPr="002D5ECA">
        <w:t>, which do not impact on GST shares.</w:t>
      </w:r>
    </w:p>
    <w:p w:rsidR="00006F51" w:rsidRPr="002D5ECA" w:rsidRDefault="00006F51" w:rsidP="00006F51"/>
    <w:tbl>
      <w:tblPr>
        <w:tblStyle w:val="TableGrid"/>
        <w:tblW w:w="0" w:type="auto"/>
        <w:tblLook w:val="04A0" w:firstRow="1" w:lastRow="0" w:firstColumn="1" w:lastColumn="0" w:noHBand="0" w:noVBand="1"/>
      </w:tblPr>
      <w:tblGrid>
        <w:gridCol w:w="9167"/>
      </w:tblGrid>
      <w:tr w:rsidR="005A0B13" w:rsidTr="005A53F6">
        <w:tc>
          <w:tcPr>
            <w:tcW w:w="9167" w:type="dxa"/>
            <w:tcBorders>
              <w:top w:val="nil"/>
              <w:left w:val="nil"/>
              <w:bottom w:val="nil"/>
              <w:right w:val="nil"/>
            </w:tcBorders>
            <w:shd w:val="clear" w:color="auto" w:fill="D9F3E6"/>
          </w:tcPr>
          <w:tbl>
            <w:tblPr>
              <w:tblStyle w:val="TableGrid"/>
              <w:tblW w:w="0" w:type="auto"/>
              <w:tblLook w:val="04A0" w:firstRow="1" w:lastRow="0" w:firstColumn="1" w:lastColumn="0" w:noHBand="0" w:noVBand="1"/>
            </w:tblPr>
            <w:tblGrid>
              <w:gridCol w:w="8951"/>
            </w:tblGrid>
            <w:tr w:rsidR="005A0B13" w:rsidTr="005A53F6">
              <w:tc>
                <w:tcPr>
                  <w:tcW w:w="8951" w:type="dxa"/>
                  <w:tcBorders>
                    <w:top w:val="nil"/>
                    <w:left w:val="nil"/>
                    <w:bottom w:val="nil"/>
                    <w:right w:val="nil"/>
                  </w:tcBorders>
                  <w:shd w:val="clear" w:color="auto" w:fill="D9F3E6"/>
                </w:tcPr>
                <w:p w:rsidR="005A0B13" w:rsidRDefault="005A0B13" w:rsidP="005A53F6">
                  <w:pPr>
                    <w:keepNext/>
                  </w:pPr>
                  <w:r w:rsidRPr="00741FF2">
                    <w:t xml:space="preserve">Staff propose to recommend the </w:t>
                  </w:r>
                  <w:r>
                    <w:t>C</w:t>
                  </w:r>
                  <w:r w:rsidRPr="00741FF2">
                    <w:t>ommission</w:t>
                  </w:r>
                  <w:r>
                    <w:t>:</w:t>
                  </w:r>
                </w:p>
                <w:p w:rsidR="005A0B13" w:rsidRDefault="00061BD4" w:rsidP="005A0B13">
                  <w:pPr>
                    <w:pStyle w:val="CGCBulletlist"/>
                    <w:keepNext/>
                  </w:pPr>
                  <w:r>
                    <w:t xml:space="preserve">assess </w:t>
                  </w:r>
                  <w:r w:rsidR="005A0B13">
                    <w:t>revenues from user charges on an EPC basis in the Other revenue category.</w:t>
                  </w:r>
                </w:p>
              </w:tc>
            </w:tr>
          </w:tbl>
          <w:p w:rsidR="005A0B13" w:rsidRDefault="005A0B13" w:rsidP="005A53F6">
            <w:pPr>
              <w:pStyle w:val="CGCBulletlist"/>
              <w:keepNext/>
              <w:numPr>
                <w:ilvl w:val="0"/>
                <w:numId w:val="0"/>
              </w:numPr>
              <w:ind w:left="1134"/>
            </w:pPr>
          </w:p>
        </w:tc>
      </w:tr>
    </w:tbl>
    <w:p w:rsidR="0027356E" w:rsidRDefault="0027356E" w:rsidP="0027356E">
      <w:pPr>
        <w:pStyle w:val="Heading4"/>
      </w:pPr>
      <w:bookmarkStart w:id="112" w:name="_Toc511036012"/>
      <w:bookmarkStart w:id="113" w:name="_Toc511813737"/>
      <w:bookmarkStart w:id="114" w:name="_Toc511813752"/>
      <w:bookmarkStart w:id="115" w:name="_Toc511813833"/>
      <w:bookmarkStart w:id="116" w:name="_Toc511813927"/>
      <w:bookmarkStart w:id="117" w:name="_Toc511814013"/>
      <w:bookmarkStart w:id="118" w:name="_Toc511816542"/>
      <w:bookmarkStart w:id="119" w:name="_Toc511816557"/>
      <w:r>
        <w:t>Other issues considered and settled</w:t>
      </w:r>
      <w:bookmarkEnd w:id="112"/>
      <w:bookmarkEnd w:id="113"/>
      <w:bookmarkEnd w:id="114"/>
      <w:bookmarkEnd w:id="115"/>
      <w:bookmarkEnd w:id="116"/>
      <w:bookmarkEnd w:id="117"/>
      <w:bookmarkEnd w:id="118"/>
      <w:bookmarkEnd w:id="119"/>
    </w:p>
    <w:p w:rsidR="0027356E" w:rsidRDefault="0027356E" w:rsidP="0027356E">
      <w:pPr>
        <w:pStyle w:val="CGCNumberedPara"/>
        <w:numPr>
          <w:ilvl w:val="1"/>
          <w:numId w:val="3"/>
        </w:numPr>
      </w:pPr>
      <w:r>
        <w:t>A location disability will be retained in the family and child and other general welfare assessments.</w:t>
      </w:r>
    </w:p>
    <w:p w:rsidR="00A51BE4" w:rsidRDefault="00A51BE4" w:rsidP="001E29B4">
      <w:pPr>
        <w:pStyle w:val="Heading3"/>
      </w:pPr>
      <w:bookmarkStart w:id="120" w:name="_Toc511036013"/>
      <w:bookmarkStart w:id="121" w:name="_Toc511813738"/>
      <w:bookmarkStart w:id="122" w:name="_Toc511813753"/>
      <w:bookmarkStart w:id="123" w:name="_Toc511813834"/>
      <w:bookmarkStart w:id="124" w:name="_Toc511813928"/>
      <w:bookmarkStart w:id="125" w:name="_Toc511814014"/>
      <w:bookmarkStart w:id="126" w:name="_Toc511816543"/>
      <w:bookmarkStart w:id="127" w:name="_Toc511816558"/>
      <w:r w:rsidRPr="00FE3214">
        <w:t>Conclusion and way forward</w:t>
      </w:r>
      <w:bookmarkEnd w:id="120"/>
      <w:bookmarkEnd w:id="121"/>
      <w:bookmarkEnd w:id="122"/>
      <w:bookmarkEnd w:id="123"/>
      <w:bookmarkEnd w:id="124"/>
      <w:bookmarkEnd w:id="125"/>
      <w:bookmarkEnd w:id="126"/>
      <w:bookmarkEnd w:id="127"/>
    </w:p>
    <w:p w:rsidR="00006F51" w:rsidRDefault="00BB6C17" w:rsidP="00A51BE4">
      <w:pPr>
        <w:pStyle w:val="CGCNumberedPara"/>
      </w:pPr>
      <w:r>
        <w:t xml:space="preserve">Going forward, </w:t>
      </w:r>
      <w:r w:rsidR="00006F51">
        <w:t xml:space="preserve">family and child services and concessions are expected to become the largest components of the Welfare category for which disabilities are assessed. This is because </w:t>
      </w:r>
      <w:r>
        <w:t>State aged care services will fall to insignificant levels once the data reflect the Commonwealth’s tak</w:t>
      </w:r>
      <w:r w:rsidR="00006F51">
        <w:t>eover</w:t>
      </w:r>
      <w:r>
        <w:t xml:space="preserve"> of full responsibility for HACC and specialist disability services for older people in all States</w:t>
      </w:r>
      <w:r w:rsidR="00D17315">
        <w:t xml:space="preserve">. </w:t>
      </w:r>
      <w:r w:rsidR="00006F51">
        <w:t>Furthermore, d</w:t>
      </w:r>
      <w:r w:rsidR="00D17315">
        <w:t xml:space="preserve">isability </w:t>
      </w:r>
      <w:r>
        <w:t xml:space="preserve">services will largely fold into the NDIS and be provided by the NDIA, an </w:t>
      </w:r>
      <w:r w:rsidRPr="007459F9">
        <w:t>independent statutory agency</w:t>
      </w:r>
      <w:r>
        <w:t xml:space="preserve">. </w:t>
      </w:r>
    </w:p>
    <w:p w:rsidR="002B13A6" w:rsidRDefault="00D17315" w:rsidP="00A51BE4">
      <w:pPr>
        <w:pStyle w:val="CGCNumberedPara"/>
      </w:pPr>
      <w:r>
        <w:lastRenderedPageBreak/>
        <w:t xml:space="preserve">We consider these two assessments settled. </w:t>
      </w:r>
    </w:p>
    <w:p w:rsidR="00986684" w:rsidRDefault="00A715DE" w:rsidP="00A715DE">
      <w:pPr>
        <w:pStyle w:val="CGCNumberedPara"/>
      </w:pPr>
      <w:r>
        <w:t xml:space="preserve">Staff also propose that non-NDIS disability expenses be grouped </w:t>
      </w:r>
      <w:r>
        <w:rPr>
          <w:lang w:val="en"/>
        </w:rPr>
        <w:t xml:space="preserve">with other general welfare expenses and assessed </w:t>
      </w:r>
      <w:r>
        <w:t xml:space="preserve">using a low SES measure as such an assessment </w:t>
      </w:r>
      <w:r w:rsidR="00006F51">
        <w:t>is</w:t>
      </w:r>
      <w:r w:rsidR="00356BC2" w:rsidRPr="00D66A39">
        <w:t xml:space="preserve"> </w:t>
      </w:r>
      <w:r>
        <w:t>un</w:t>
      </w:r>
      <w:r w:rsidR="00061BD4">
        <w:t xml:space="preserve">likely to </w:t>
      </w:r>
      <w:r>
        <w:t>differ</w:t>
      </w:r>
      <w:r w:rsidR="00061BD4">
        <w:t xml:space="preserve"> materially from </w:t>
      </w:r>
      <w:r>
        <w:t xml:space="preserve">a separate assessment of non-NDIS disability </w:t>
      </w:r>
      <w:r w:rsidRPr="00D66A39">
        <w:t>expenses</w:t>
      </w:r>
      <w:r w:rsidR="00986684">
        <w:t xml:space="preserve">. </w:t>
      </w:r>
    </w:p>
    <w:p w:rsidR="002A09AF" w:rsidRDefault="00C170D3" w:rsidP="002A09AF">
      <w:pPr>
        <w:pStyle w:val="CGCNumberedPara"/>
      </w:pPr>
      <w:r>
        <w:t>Further</w:t>
      </w:r>
      <w:r w:rsidR="002A09AF">
        <w:t>, s</w:t>
      </w:r>
      <w:r w:rsidR="002B13A6">
        <w:t xml:space="preserve">taff propose </w:t>
      </w:r>
      <w:r>
        <w:t>to combine</w:t>
      </w:r>
      <w:r w:rsidR="002B13A6">
        <w:t xml:space="preserve"> </w:t>
      </w:r>
      <w:r>
        <w:t xml:space="preserve">aged care expenses with </w:t>
      </w:r>
      <w:r w:rsidR="002B13A6" w:rsidRPr="002B13A6">
        <w:rPr>
          <w:lang w:val="en"/>
        </w:rPr>
        <w:t>other general welfare expenses</w:t>
      </w:r>
      <w:r w:rsidR="002A09AF">
        <w:rPr>
          <w:lang w:val="en"/>
        </w:rPr>
        <w:t xml:space="preserve"> </w:t>
      </w:r>
      <w:r w:rsidR="00986684">
        <w:t>and assess</w:t>
      </w:r>
      <w:r w:rsidR="00A715DE">
        <w:t xml:space="preserve"> them </w:t>
      </w:r>
      <w:r w:rsidR="00986684">
        <w:t xml:space="preserve">using a low SES </w:t>
      </w:r>
      <w:r>
        <w:t>measure</w:t>
      </w:r>
      <w:r w:rsidR="002A09AF">
        <w:t>.</w:t>
      </w:r>
    </w:p>
    <w:p w:rsidR="002A09AF" w:rsidRDefault="002A09AF" w:rsidP="002A09AF">
      <w:pPr>
        <w:pStyle w:val="CGCNumberedPara"/>
      </w:pPr>
      <w:r>
        <w:t>We seek State views on the appropriate treatment of homelessness expenses.</w:t>
      </w:r>
    </w:p>
    <w:p w:rsidR="0010505B" w:rsidRPr="00741FF2" w:rsidRDefault="0010505B" w:rsidP="00C3140C">
      <w:pPr>
        <w:pStyle w:val="Heading4"/>
      </w:pPr>
      <w:bookmarkStart w:id="128" w:name="_Toc511036014"/>
      <w:bookmarkStart w:id="129" w:name="_Toc511813739"/>
      <w:bookmarkStart w:id="130" w:name="_Toc511813754"/>
      <w:bookmarkStart w:id="131" w:name="_Toc511813835"/>
      <w:bookmarkStart w:id="132" w:name="_Toc511813929"/>
      <w:bookmarkStart w:id="133" w:name="_Toc511814015"/>
      <w:bookmarkStart w:id="134" w:name="_Toc511816544"/>
      <w:bookmarkStart w:id="135" w:name="_Toc511816559"/>
      <w:r w:rsidRPr="00741FF2">
        <w:t>Proposed assessment structure</w:t>
      </w:r>
      <w:bookmarkEnd w:id="128"/>
      <w:bookmarkEnd w:id="129"/>
      <w:bookmarkEnd w:id="130"/>
      <w:bookmarkEnd w:id="131"/>
      <w:bookmarkEnd w:id="132"/>
      <w:bookmarkEnd w:id="133"/>
      <w:bookmarkEnd w:id="134"/>
      <w:bookmarkEnd w:id="135"/>
    </w:p>
    <w:p w:rsidR="0010505B" w:rsidRPr="00741FF2" w:rsidRDefault="0010505B" w:rsidP="0010505B">
      <w:pPr>
        <w:pStyle w:val="CGCNumberedPara"/>
        <w:numPr>
          <w:ilvl w:val="1"/>
          <w:numId w:val="3"/>
        </w:numPr>
      </w:pPr>
      <w:r w:rsidRPr="00741FF2">
        <w:t xml:space="preserve">Staff propose the following assessment structure for this category in the </w:t>
      </w:r>
      <w:r w:rsidR="004A39D9">
        <w:t>2020 R</w:t>
      </w:r>
      <w:r w:rsidRPr="00741FF2">
        <w:t xml:space="preserve">eview. </w:t>
      </w:r>
    </w:p>
    <w:p w:rsidR="0010505B" w:rsidRPr="00741FF2" w:rsidRDefault="0010505B" w:rsidP="0010505B">
      <w:pPr>
        <w:pStyle w:val="CGCTableHeading"/>
      </w:pPr>
      <w:bookmarkStart w:id="136" w:name="_Ref341260689"/>
      <w:r w:rsidRPr="00741FF2">
        <w:t xml:space="preserve">Table </w:t>
      </w:r>
      <w:r w:rsidR="00101636">
        <w:fldChar w:fldCharType="begin"/>
      </w:r>
      <w:r w:rsidR="00101636">
        <w:instrText xml:space="preserve"> SEQ Table \* ARABIC </w:instrText>
      </w:r>
      <w:r w:rsidR="00101636">
        <w:fldChar w:fldCharType="separate"/>
      </w:r>
      <w:r w:rsidR="00835CFE">
        <w:rPr>
          <w:noProof/>
        </w:rPr>
        <w:t>9</w:t>
      </w:r>
      <w:r w:rsidR="00101636">
        <w:rPr>
          <w:noProof/>
        </w:rPr>
        <w:fldChar w:fldCharType="end"/>
      </w:r>
      <w:bookmarkEnd w:id="136"/>
      <w:r w:rsidRPr="00741FF2">
        <w:tab/>
        <w:t>Proposed Welfare category structure</w:t>
      </w:r>
    </w:p>
    <w:tbl>
      <w:tblPr>
        <w:tblStyle w:val="TableGrid"/>
        <w:tblW w:w="5000" w:type="pct"/>
        <w:tblLook w:val="04A0" w:firstRow="1" w:lastRow="0" w:firstColumn="1" w:lastColumn="0" w:noHBand="0" w:noVBand="1"/>
        <w:tblCaption w:val="Proposed Welfare category structure"/>
        <w:tblDescription w:val="Proposed Welfare category structure"/>
      </w:tblPr>
      <w:tblGrid>
        <w:gridCol w:w="1809"/>
        <w:gridCol w:w="1700"/>
        <w:gridCol w:w="5658"/>
      </w:tblGrid>
      <w:tr w:rsidR="0010505B" w:rsidRPr="00741FF2" w:rsidTr="00966278">
        <w:trPr>
          <w:tblHeader/>
        </w:trPr>
        <w:tc>
          <w:tcPr>
            <w:tcW w:w="987" w:type="pct"/>
            <w:tcBorders>
              <w:left w:val="nil"/>
              <w:right w:val="nil"/>
            </w:tcBorders>
          </w:tcPr>
          <w:p w:rsidR="0010505B" w:rsidRPr="00741FF2" w:rsidRDefault="0010505B" w:rsidP="00D50174">
            <w:pPr>
              <w:keepNext/>
              <w:rPr>
                <w:sz w:val="20"/>
                <w:szCs w:val="20"/>
              </w:rPr>
            </w:pPr>
            <w:r w:rsidRPr="00741FF2">
              <w:rPr>
                <w:sz w:val="20"/>
                <w:szCs w:val="20"/>
              </w:rPr>
              <w:t>Component</w:t>
            </w:r>
          </w:p>
        </w:tc>
        <w:tc>
          <w:tcPr>
            <w:tcW w:w="927" w:type="pct"/>
            <w:tcBorders>
              <w:left w:val="nil"/>
              <w:right w:val="nil"/>
            </w:tcBorders>
          </w:tcPr>
          <w:p w:rsidR="0010505B" w:rsidRPr="00741FF2" w:rsidRDefault="0010505B" w:rsidP="00D50174">
            <w:pPr>
              <w:keepNext/>
              <w:rPr>
                <w:sz w:val="20"/>
                <w:szCs w:val="20"/>
              </w:rPr>
            </w:pPr>
            <w:r w:rsidRPr="00741FF2">
              <w:rPr>
                <w:sz w:val="20"/>
                <w:szCs w:val="20"/>
              </w:rPr>
              <w:t>Disability</w:t>
            </w:r>
          </w:p>
        </w:tc>
        <w:tc>
          <w:tcPr>
            <w:tcW w:w="3086" w:type="pct"/>
            <w:tcBorders>
              <w:left w:val="nil"/>
              <w:right w:val="nil"/>
            </w:tcBorders>
          </w:tcPr>
          <w:p w:rsidR="0010505B" w:rsidRPr="00741FF2" w:rsidRDefault="0010505B" w:rsidP="00D50174">
            <w:pPr>
              <w:keepNext/>
              <w:rPr>
                <w:sz w:val="20"/>
                <w:szCs w:val="20"/>
              </w:rPr>
            </w:pPr>
            <w:r w:rsidRPr="00741FF2">
              <w:rPr>
                <w:sz w:val="20"/>
                <w:szCs w:val="20"/>
              </w:rPr>
              <w:t>Influence measured by disability</w:t>
            </w:r>
          </w:p>
        </w:tc>
      </w:tr>
      <w:tr w:rsidR="0010505B" w:rsidRPr="00741FF2" w:rsidTr="002A09AF">
        <w:tc>
          <w:tcPr>
            <w:tcW w:w="987" w:type="pct"/>
            <w:tcBorders>
              <w:top w:val="nil"/>
              <w:left w:val="nil"/>
              <w:bottom w:val="nil"/>
              <w:right w:val="nil"/>
            </w:tcBorders>
          </w:tcPr>
          <w:p w:rsidR="0010505B" w:rsidRPr="00741FF2" w:rsidRDefault="0010505B" w:rsidP="009B7CBA">
            <w:pPr>
              <w:keepNext/>
              <w:spacing w:before="60" w:after="60" w:line="240" w:lineRule="auto"/>
              <w:rPr>
                <w:sz w:val="20"/>
                <w:szCs w:val="20"/>
              </w:rPr>
            </w:pPr>
            <w:r w:rsidRPr="00741FF2">
              <w:rPr>
                <w:sz w:val="20"/>
                <w:szCs w:val="20"/>
              </w:rPr>
              <w:t>Family and child</w:t>
            </w:r>
          </w:p>
        </w:tc>
        <w:tc>
          <w:tcPr>
            <w:tcW w:w="927" w:type="pct"/>
            <w:tcBorders>
              <w:top w:val="nil"/>
              <w:left w:val="nil"/>
              <w:bottom w:val="nil"/>
              <w:right w:val="nil"/>
            </w:tcBorders>
          </w:tcPr>
          <w:p w:rsidR="0010505B" w:rsidRPr="00741FF2" w:rsidRDefault="0010505B" w:rsidP="009B7CBA">
            <w:pPr>
              <w:keepNext/>
              <w:spacing w:before="60" w:after="60" w:line="240" w:lineRule="auto"/>
              <w:rPr>
                <w:sz w:val="20"/>
                <w:szCs w:val="20"/>
              </w:rPr>
            </w:pPr>
            <w:r w:rsidRPr="00741FF2">
              <w:rPr>
                <w:sz w:val="20"/>
                <w:szCs w:val="20"/>
              </w:rPr>
              <w:t>SDC</w:t>
            </w:r>
          </w:p>
        </w:tc>
        <w:tc>
          <w:tcPr>
            <w:tcW w:w="3086" w:type="pct"/>
            <w:tcBorders>
              <w:top w:val="nil"/>
              <w:left w:val="nil"/>
              <w:bottom w:val="nil"/>
              <w:right w:val="nil"/>
            </w:tcBorders>
          </w:tcPr>
          <w:p w:rsidR="0010505B" w:rsidRPr="00741FF2" w:rsidRDefault="0010505B" w:rsidP="009B7CBA">
            <w:pPr>
              <w:keepNext/>
              <w:spacing w:before="60" w:after="60" w:line="240" w:lineRule="auto"/>
              <w:rPr>
                <w:sz w:val="20"/>
                <w:szCs w:val="20"/>
              </w:rPr>
            </w:pPr>
            <w:r w:rsidRPr="00741FF2">
              <w:rPr>
                <w:sz w:val="20"/>
                <w:szCs w:val="20"/>
              </w:rPr>
              <w:t>Recognises that Indigeneity, low SES and location population characteristics affect the use and cost of providing services</w:t>
            </w:r>
          </w:p>
        </w:tc>
      </w:tr>
      <w:tr w:rsidR="00346389" w:rsidRPr="00741FF2" w:rsidTr="002A09AF">
        <w:tc>
          <w:tcPr>
            <w:tcW w:w="987" w:type="pct"/>
            <w:tcBorders>
              <w:top w:val="nil"/>
              <w:left w:val="nil"/>
              <w:bottom w:val="nil"/>
              <w:right w:val="nil"/>
            </w:tcBorders>
          </w:tcPr>
          <w:p w:rsidR="00346389" w:rsidRPr="00741FF2" w:rsidRDefault="00346389" w:rsidP="009B7CBA">
            <w:pPr>
              <w:keepNext/>
              <w:spacing w:before="60" w:after="60" w:line="240" w:lineRule="auto"/>
              <w:ind w:left="57"/>
              <w:rPr>
                <w:sz w:val="20"/>
                <w:szCs w:val="20"/>
              </w:rPr>
            </w:pPr>
          </w:p>
        </w:tc>
        <w:tc>
          <w:tcPr>
            <w:tcW w:w="927" w:type="pct"/>
            <w:tcBorders>
              <w:top w:val="nil"/>
              <w:left w:val="nil"/>
              <w:bottom w:val="nil"/>
              <w:right w:val="nil"/>
            </w:tcBorders>
          </w:tcPr>
          <w:p w:rsidR="00346389" w:rsidRPr="002D5ECA" w:rsidRDefault="00346389" w:rsidP="009B7CBA">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Location</w:t>
            </w:r>
          </w:p>
        </w:tc>
        <w:tc>
          <w:tcPr>
            <w:tcW w:w="3086" w:type="pct"/>
            <w:tcBorders>
              <w:top w:val="nil"/>
              <w:left w:val="nil"/>
              <w:bottom w:val="nil"/>
              <w:right w:val="nil"/>
            </w:tcBorders>
          </w:tcPr>
          <w:p w:rsidR="00346389" w:rsidRPr="002D5ECA" w:rsidRDefault="00346389" w:rsidP="00356BC2">
            <w:pPr>
              <w:keepNext/>
              <w:keepLines/>
              <w:tabs>
                <w:tab w:val="clear" w:pos="567"/>
              </w:tabs>
              <w:spacing w:before="60" w:after="60" w:line="240" w:lineRule="auto"/>
              <w:rPr>
                <w:rFonts w:ascii="Calibri" w:eastAsia="Times New Roman" w:hAnsi="Calibri" w:cs="Times New Roman"/>
                <w:sz w:val="20"/>
                <w:szCs w:val="20"/>
                <w:lang w:eastAsia="en-AU"/>
              </w:rPr>
            </w:pPr>
            <w:r w:rsidRPr="002D5ECA">
              <w:rPr>
                <w:rFonts w:ascii="Calibri" w:eastAsia="Times New Roman" w:hAnsi="Calibri" w:cs="Times New Roman"/>
                <w:sz w:val="20"/>
                <w:szCs w:val="20"/>
                <w:lang w:eastAsia="en-AU"/>
              </w:rPr>
              <w:t>Recognises the differences in wage costs between States and in the cost of providing services to different areas within a State</w:t>
            </w:r>
          </w:p>
        </w:tc>
      </w:tr>
      <w:tr w:rsidR="008E775C" w:rsidRPr="00741FF2" w:rsidTr="002A09AF">
        <w:tc>
          <w:tcPr>
            <w:tcW w:w="987" w:type="pct"/>
            <w:tcBorders>
              <w:top w:val="single" w:sz="4" w:space="0" w:color="auto"/>
              <w:left w:val="nil"/>
              <w:bottom w:val="single" w:sz="4" w:space="0" w:color="auto"/>
              <w:right w:val="nil"/>
            </w:tcBorders>
          </w:tcPr>
          <w:p w:rsidR="008E775C" w:rsidRDefault="008E775C" w:rsidP="009B7CBA">
            <w:pPr>
              <w:keepNext/>
              <w:spacing w:before="60" w:after="60" w:line="240" w:lineRule="auto"/>
              <w:ind w:left="57"/>
              <w:rPr>
                <w:sz w:val="20"/>
                <w:szCs w:val="20"/>
              </w:rPr>
            </w:pPr>
            <w:r>
              <w:rPr>
                <w:sz w:val="20"/>
                <w:szCs w:val="20"/>
              </w:rPr>
              <w:t>NDIS</w:t>
            </w:r>
            <w:r w:rsidR="00C170D3">
              <w:rPr>
                <w:sz w:val="20"/>
                <w:szCs w:val="20"/>
              </w:rPr>
              <w:t xml:space="preserve"> </w:t>
            </w:r>
          </w:p>
        </w:tc>
        <w:tc>
          <w:tcPr>
            <w:tcW w:w="927" w:type="pct"/>
            <w:tcBorders>
              <w:top w:val="single" w:sz="4" w:space="0" w:color="auto"/>
              <w:left w:val="nil"/>
              <w:bottom w:val="single" w:sz="4" w:space="0" w:color="auto"/>
              <w:right w:val="nil"/>
            </w:tcBorders>
          </w:tcPr>
          <w:p w:rsidR="008E775C" w:rsidRDefault="008E775C" w:rsidP="009B7CBA">
            <w:pPr>
              <w:keepNext/>
              <w:spacing w:before="60" w:after="60" w:line="240" w:lineRule="auto"/>
              <w:rPr>
                <w:sz w:val="20"/>
                <w:szCs w:val="20"/>
              </w:rPr>
            </w:pPr>
          </w:p>
        </w:tc>
        <w:tc>
          <w:tcPr>
            <w:tcW w:w="3086" w:type="pct"/>
            <w:tcBorders>
              <w:top w:val="single" w:sz="4" w:space="0" w:color="auto"/>
              <w:left w:val="nil"/>
              <w:bottom w:val="single" w:sz="4" w:space="0" w:color="auto"/>
              <w:right w:val="nil"/>
            </w:tcBorders>
          </w:tcPr>
          <w:p w:rsidR="008E775C" w:rsidRDefault="00C170D3" w:rsidP="009B7CBA">
            <w:pPr>
              <w:keepNext/>
              <w:spacing w:before="60" w:after="60" w:line="240" w:lineRule="auto"/>
              <w:rPr>
                <w:sz w:val="20"/>
                <w:szCs w:val="20"/>
              </w:rPr>
            </w:pPr>
            <w:r>
              <w:rPr>
                <w:sz w:val="20"/>
                <w:szCs w:val="20"/>
              </w:rPr>
              <w:t>A</w:t>
            </w:r>
            <w:r w:rsidR="008E775C">
              <w:rPr>
                <w:sz w:val="20"/>
                <w:szCs w:val="20"/>
              </w:rPr>
              <w:t>PC assessment</w:t>
            </w:r>
            <w:r>
              <w:rPr>
                <w:sz w:val="20"/>
                <w:szCs w:val="20"/>
              </w:rPr>
              <w:t>.</w:t>
            </w:r>
          </w:p>
        </w:tc>
      </w:tr>
      <w:tr w:rsidR="004A39D9" w:rsidRPr="00741FF2" w:rsidTr="002A09AF">
        <w:tc>
          <w:tcPr>
            <w:tcW w:w="987" w:type="pct"/>
            <w:tcBorders>
              <w:top w:val="single" w:sz="4" w:space="0" w:color="auto"/>
              <w:left w:val="nil"/>
              <w:bottom w:val="single" w:sz="4" w:space="0" w:color="auto"/>
              <w:right w:val="nil"/>
            </w:tcBorders>
          </w:tcPr>
          <w:p w:rsidR="004A39D9" w:rsidRPr="00741FF2" w:rsidRDefault="00AD0966" w:rsidP="009B7CBA">
            <w:pPr>
              <w:keepNext/>
              <w:spacing w:before="60" w:after="60" w:line="240" w:lineRule="auto"/>
              <w:ind w:left="57"/>
              <w:rPr>
                <w:sz w:val="20"/>
                <w:szCs w:val="20"/>
              </w:rPr>
            </w:pPr>
            <w:r>
              <w:rPr>
                <w:sz w:val="20"/>
                <w:szCs w:val="20"/>
              </w:rPr>
              <w:t>Concessions</w:t>
            </w:r>
          </w:p>
        </w:tc>
        <w:tc>
          <w:tcPr>
            <w:tcW w:w="927" w:type="pct"/>
            <w:tcBorders>
              <w:top w:val="single" w:sz="4" w:space="0" w:color="auto"/>
              <w:left w:val="nil"/>
              <w:bottom w:val="single" w:sz="4" w:space="0" w:color="auto"/>
              <w:right w:val="nil"/>
            </w:tcBorders>
          </w:tcPr>
          <w:p w:rsidR="004A39D9" w:rsidRPr="00741FF2" w:rsidRDefault="005D58A8" w:rsidP="009B7CBA">
            <w:pPr>
              <w:keepNext/>
              <w:spacing w:before="60" w:after="60" w:line="240" w:lineRule="auto"/>
              <w:rPr>
                <w:sz w:val="20"/>
                <w:szCs w:val="20"/>
              </w:rPr>
            </w:pPr>
            <w:r>
              <w:rPr>
                <w:sz w:val="20"/>
                <w:szCs w:val="20"/>
              </w:rPr>
              <w:t>SDC</w:t>
            </w:r>
          </w:p>
        </w:tc>
        <w:tc>
          <w:tcPr>
            <w:tcW w:w="3086" w:type="pct"/>
            <w:tcBorders>
              <w:top w:val="single" w:sz="4" w:space="0" w:color="auto"/>
              <w:left w:val="nil"/>
              <w:bottom w:val="single" w:sz="4" w:space="0" w:color="auto"/>
              <w:right w:val="nil"/>
            </w:tcBorders>
          </w:tcPr>
          <w:p w:rsidR="004A39D9" w:rsidRPr="00741FF2" w:rsidRDefault="005D58A8" w:rsidP="009B7CBA">
            <w:pPr>
              <w:keepNext/>
              <w:spacing w:before="60" w:after="60" w:line="240" w:lineRule="auto"/>
              <w:rPr>
                <w:sz w:val="20"/>
                <w:szCs w:val="20"/>
              </w:rPr>
            </w:pPr>
            <w:r>
              <w:rPr>
                <w:sz w:val="20"/>
                <w:szCs w:val="20"/>
              </w:rPr>
              <w:t xml:space="preserve">Recognises that </w:t>
            </w:r>
            <w:r w:rsidRPr="005D58A8">
              <w:rPr>
                <w:sz w:val="20"/>
                <w:szCs w:val="20"/>
              </w:rPr>
              <w:t xml:space="preserve">number of pensioner concession card (PCC) plus health care card (HCC) holders </w:t>
            </w:r>
            <w:r>
              <w:rPr>
                <w:sz w:val="20"/>
                <w:szCs w:val="20"/>
              </w:rPr>
              <w:t>affect the use and cost of providing services</w:t>
            </w:r>
          </w:p>
        </w:tc>
      </w:tr>
      <w:tr w:rsidR="00206955" w:rsidRPr="00741FF2" w:rsidTr="00346389">
        <w:tc>
          <w:tcPr>
            <w:tcW w:w="987" w:type="pct"/>
            <w:tcBorders>
              <w:top w:val="single" w:sz="4" w:space="0" w:color="auto"/>
              <w:left w:val="nil"/>
              <w:right w:val="nil"/>
            </w:tcBorders>
          </w:tcPr>
          <w:p w:rsidR="00206955" w:rsidRPr="00C17D70" w:rsidRDefault="00206955" w:rsidP="009B7CBA">
            <w:pPr>
              <w:keepNext/>
              <w:spacing w:before="60" w:after="60" w:line="240" w:lineRule="auto"/>
              <w:ind w:left="57"/>
              <w:rPr>
                <w:sz w:val="20"/>
                <w:szCs w:val="20"/>
              </w:rPr>
            </w:pPr>
            <w:r>
              <w:rPr>
                <w:sz w:val="20"/>
                <w:szCs w:val="20"/>
              </w:rPr>
              <w:t>Homelessness</w:t>
            </w:r>
          </w:p>
        </w:tc>
        <w:tc>
          <w:tcPr>
            <w:tcW w:w="927" w:type="pct"/>
            <w:tcBorders>
              <w:top w:val="single" w:sz="4" w:space="0" w:color="auto"/>
              <w:left w:val="nil"/>
              <w:bottom w:val="nil"/>
              <w:right w:val="nil"/>
            </w:tcBorders>
          </w:tcPr>
          <w:p w:rsidR="00206955" w:rsidRPr="00741FF2" w:rsidRDefault="00206955" w:rsidP="009B7CBA">
            <w:pPr>
              <w:keepNext/>
              <w:spacing w:before="60" w:after="60" w:line="240" w:lineRule="auto"/>
              <w:rPr>
                <w:sz w:val="20"/>
                <w:szCs w:val="20"/>
              </w:rPr>
            </w:pPr>
            <w:r>
              <w:rPr>
                <w:sz w:val="20"/>
                <w:szCs w:val="20"/>
              </w:rPr>
              <w:t>SDC</w:t>
            </w:r>
          </w:p>
        </w:tc>
        <w:tc>
          <w:tcPr>
            <w:tcW w:w="3086" w:type="pct"/>
            <w:tcBorders>
              <w:top w:val="single" w:sz="4" w:space="0" w:color="auto"/>
              <w:left w:val="nil"/>
              <w:bottom w:val="nil"/>
              <w:right w:val="nil"/>
            </w:tcBorders>
          </w:tcPr>
          <w:p w:rsidR="00206955" w:rsidRPr="00386DEA" w:rsidRDefault="00B963EE" w:rsidP="00B963EE">
            <w:pPr>
              <w:keepNext/>
              <w:spacing w:before="60" w:after="60" w:line="240" w:lineRule="auto"/>
              <w:rPr>
                <w:sz w:val="20"/>
                <w:szCs w:val="20"/>
                <w:highlight w:val="yellow"/>
              </w:rPr>
            </w:pPr>
            <w:r>
              <w:rPr>
                <w:sz w:val="20"/>
                <w:szCs w:val="20"/>
              </w:rPr>
              <w:t>R</w:t>
            </w:r>
            <w:r w:rsidR="00C60870" w:rsidRPr="00B963EE">
              <w:rPr>
                <w:sz w:val="20"/>
                <w:szCs w:val="20"/>
              </w:rPr>
              <w:t xml:space="preserve">efer </w:t>
            </w:r>
            <w:r w:rsidRPr="00B963EE">
              <w:rPr>
                <w:sz w:val="20"/>
                <w:szCs w:val="20"/>
              </w:rPr>
              <w:t xml:space="preserve">Staff Draft Assessment Paper </w:t>
            </w:r>
            <w:r w:rsidR="00C60870" w:rsidRPr="00B963EE">
              <w:rPr>
                <w:sz w:val="20"/>
                <w:szCs w:val="20"/>
              </w:rPr>
              <w:t>2018-01-14-S</w:t>
            </w:r>
            <w:r w:rsidRPr="00B963EE">
              <w:rPr>
                <w:sz w:val="20"/>
                <w:szCs w:val="20"/>
              </w:rPr>
              <w:t>,</w:t>
            </w:r>
            <w:r w:rsidRPr="00B963EE">
              <w:rPr>
                <w:i/>
                <w:sz w:val="20"/>
                <w:szCs w:val="20"/>
              </w:rPr>
              <w:t xml:space="preserve"> </w:t>
            </w:r>
            <w:r w:rsidR="00C60870" w:rsidRPr="00B963EE">
              <w:rPr>
                <w:i/>
                <w:sz w:val="20"/>
                <w:szCs w:val="20"/>
              </w:rPr>
              <w:t xml:space="preserve"> Housing</w:t>
            </w:r>
          </w:p>
        </w:tc>
      </w:tr>
      <w:tr w:rsidR="00206955" w:rsidRPr="00741FF2" w:rsidTr="00346389">
        <w:tc>
          <w:tcPr>
            <w:tcW w:w="987" w:type="pct"/>
            <w:vMerge w:val="restart"/>
            <w:tcBorders>
              <w:top w:val="single" w:sz="4" w:space="0" w:color="auto"/>
              <w:left w:val="nil"/>
              <w:right w:val="nil"/>
            </w:tcBorders>
          </w:tcPr>
          <w:p w:rsidR="00206955" w:rsidRPr="00741FF2" w:rsidRDefault="00206955" w:rsidP="00356BC2">
            <w:pPr>
              <w:keepNext/>
              <w:spacing w:before="60" w:after="60" w:line="240" w:lineRule="auto"/>
              <w:ind w:left="57"/>
              <w:rPr>
                <w:sz w:val="20"/>
                <w:szCs w:val="20"/>
              </w:rPr>
            </w:pPr>
            <w:r w:rsidRPr="00C17D70">
              <w:rPr>
                <w:sz w:val="20"/>
                <w:szCs w:val="20"/>
              </w:rPr>
              <w:t xml:space="preserve">Other welfare services, including aged care and </w:t>
            </w:r>
            <w:r w:rsidR="00C170D3">
              <w:rPr>
                <w:sz w:val="20"/>
                <w:szCs w:val="20"/>
              </w:rPr>
              <w:t xml:space="preserve">non-NDIS </w:t>
            </w:r>
            <w:r w:rsidRPr="00C17D70">
              <w:rPr>
                <w:sz w:val="20"/>
                <w:szCs w:val="20"/>
              </w:rPr>
              <w:t>disability</w:t>
            </w:r>
            <w:r>
              <w:rPr>
                <w:sz w:val="20"/>
                <w:szCs w:val="20"/>
              </w:rPr>
              <w:t xml:space="preserve"> services</w:t>
            </w:r>
          </w:p>
        </w:tc>
        <w:tc>
          <w:tcPr>
            <w:tcW w:w="927" w:type="pct"/>
            <w:tcBorders>
              <w:top w:val="single" w:sz="4" w:space="0" w:color="auto"/>
              <w:left w:val="nil"/>
              <w:bottom w:val="nil"/>
              <w:right w:val="nil"/>
            </w:tcBorders>
          </w:tcPr>
          <w:p w:rsidR="00206955" w:rsidRPr="00741FF2" w:rsidRDefault="00206955" w:rsidP="009B7CBA">
            <w:pPr>
              <w:keepNext/>
              <w:spacing w:before="60" w:after="60" w:line="240" w:lineRule="auto"/>
              <w:rPr>
                <w:sz w:val="20"/>
                <w:szCs w:val="20"/>
              </w:rPr>
            </w:pPr>
            <w:r w:rsidRPr="00741FF2">
              <w:rPr>
                <w:sz w:val="20"/>
                <w:szCs w:val="20"/>
              </w:rPr>
              <w:t>SDC</w:t>
            </w:r>
          </w:p>
        </w:tc>
        <w:tc>
          <w:tcPr>
            <w:tcW w:w="3086" w:type="pct"/>
            <w:tcBorders>
              <w:top w:val="single" w:sz="4" w:space="0" w:color="auto"/>
              <w:left w:val="nil"/>
              <w:bottom w:val="nil"/>
              <w:right w:val="nil"/>
            </w:tcBorders>
          </w:tcPr>
          <w:p w:rsidR="00206955" w:rsidRPr="00741FF2" w:rsidRDefault="00206955" w:rsidP="009B7CBA">
            <w:pPr>
              <w:keepNext/>
              <w:spacing w:before="60" w:after="60" w:line="240" w:lineRule="auto"/>
              <w:rPr>
                <w:sz w:val="20"/>
                <w:szCs w:val="20"/>
              </w:rPr>
            </w:pPr>
            <w:r w:rsidRPr="00741FF2">
              <w:rPr>
                <w:sz w:val="20"/>
                <w:szCs w:val="20"/>
              </w:rPr>
              <w:t>Recognises that low SES population characteristics affect the use and cost of providing services</w:t>
            </w:r>
            <w:r>
              <w:rPr>
                <w:sz w:val="20"/>
                <w:szCs w:val="20"/>
              </w:rPr>
              <w:t xml:space="preserve"> – to be finalised later in the review</w:t>
            </w:r>
          </w:p>
        </w:tc>
      </w:tr>
      <w:tr w:rsidR="00206955" w:rsidRPr="00741FF2" w:rsidTr="00346389">
        <w:tc>
          <w:tcPr>
            <w:tcW w:w="987" w:type="pct"/>
            <w:vMerge/>
            <w:tcBorders>
              <w:left w:val="nil"/>
              <w:right w:val="nil"/>
            </w:tcBorders>
          </w:tcPr>
          <w:p w:rsidR="00206955" w:rsidRPr="00741FF2" w:rsidRDefault="00206955" w:rsidP="009B7CBA">
            <w:pPr>
              <w:keepNext/>
              <w:spacing w:before="60" w:after="60" w:line="240" w:lineRule="auto"/>
              <w:ind w:left="57"/>
              <w:rPr>
                <w:sz w:val="20"/>
                <w:szCs w:val="20"/>
              </w:rPr>
            </w:pPr>
          </w:p>
        </w:tc>
        <w:tc>
          <w:tcPr>
            <w:tcW w:w="927" w:type="pct"/>
            <w:tcBorders>
              <w:top w:val="nil"/>
              <w:left w:val="nil"/>
              <w:bottom w:val="single" w:sz="4" w:space="0" w:color="auto"/>
              <w:right w:val="nil"/>
            </w:tcBorders>
          </w:tcPr>
          <w:p w:rsidR="00206955" w:rsidRPr="00741FF2" w:rsidRDefault="00206955" w:rsidP="009B7CBA">
            <w:pPr>
              <w:keepNext/>
              <w:spacing w:before="60" w:after="60" w:line="240" w:lineRule="auto"/>
              <w:rPr>
                <w:sz w:val="20"/>
                <w:szCs w:val="20"/>
              </w:rPr>
            </w:pPr>
            <w:r>
              <w:rPr>
                <w:sz w:val="20"/>
                <w:szCs w:val="20"/>
              </w:rPr>
              <w:t>Location</w:t>
            </w:r>
          </w:p>
        </w:tc>
        <w:tc>
          <w:tcPr>
            <w:tcW w:w="3086" w:type="pct"/>
            <w:tcBorders>
              <w:top w:val="nil"/>
              <w:left w:val="nil"/>
              <w:bottom w:val="single" w:sz="4" w:space="0" w:color="auto"/>
              <w:right w:val="nil"/>
            </w:tcBorders>
          </w:tcPr>
          <w:p w:rsidR="00206955" w:rsidRPr="00741FF2" w:rsidRDefault="00206955" w:rsidP="009B7CBA">
            <w:pPr>
              <w:keepNext/>
              <w:spacing w:before="60" w:after="60" w:line="240" w:lineRule="auto"/>
              <w:rPr>
                <w:sz w:val="20"/>
                <w:szCs w:val="20"/>
              </w:rPr>
            </w:pPr>
            <w:r>
              <w:rPr>
                <w:sz w:val="20"/>
                <w:szCs w:val="20"/>
              </w:rPr>
              <w:t>As above</w:t>
            </w:r>
          </w:p>
        </w:tc>
      </w:tr>
    </w:tbl>
    <w:p w:rsidR="00DC0F02" w:rsidRDefault="00DC0F02" w:rsidP="00923A25">
      <w:pPr>
        <w:pStyle w:val="CGCTableFootnote"/>
      </w:pPr>
    </w:p>
    <w:p w:rsidR="001E29B4" w:rsidRDefault="001E29B4" w:rsidP="001E29B4">
      <w:pPr>
        <w:pStyle w:val="Heading4"/>
      </w:pPr>
      <w:bookmarkStart w:id="137" w:name="_Toc511036015"/>
      <w:bookmarkStart w:id="138" w:name="_Toc511813740"/>
      <w:bookmarkStart w:id="139" w:name="_Toc511813755"/>
      <w:bookmarkStart w:id="140" w:name="_Toc511813836"/>
      <w:bookmarkStart w:id="141" w:name="_Toc511813930"/>
      <w:bookmarkStart w:id="142" w:name="_Toc511814016"/>
      <w:bookmarkStart w:id="143" w:name="_Toc511816545"/>
      <w:bookmarkStart w:id="144" w:name="_Toc511816560"/>
      <w:r>
        <w:t>Data / information sought from States</w:t>
      </w:r>
      <w:bookmarkEnd w:id="137"/>
      <w:bookmarkEnd w:id="138"/>
      <w:bookmarkEnd w:id="139"/>
      <w:bookmarkEnd w:id="140"/>
      <w:bookmarkEnd w:id="141"/>
      <w:bookmarkEnd w:id="142"/>
      <w:bookmarkEnd w:id="143"/>
      <w:bookmarkEnd w:id="144"/>
    </w:p>
    <w:p w:rsidR="001E29B4" w:rsidRPr="001E29B4" w:rsidRDefault="00474901" w:rsidP="00D75500">
      <w:pPr>
        <w:pStyle w:val="CGCNumberedPara"/>
      </w:pPr>
      <w:r>
        <w:t xml:space="preserve">Staff will seek advice from States as to </w:t>
      </w:r>
      <w:r w:rsidRPr="00474901">
        <w:t>whether their homelessness expenses are currently included within Welfare GPCs and, if not, whether they could readily be so included</w:t>
      </w:r>
      <w:r>
        <w:t>.</w:t>
      </w:r>
    </w:p>
    <w:sectPr w:rsidR="001E29B4" w:rsidRPr="001E29B4" w:rsidSect="0004123E">
      <w:footerReference w:type="default" r:id="rId15"/>
      <w:footerReference w:type="first" r:id="rId16"/>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40" w:rsidRDefault="00011140">
      <w:r>
        <w:separator/>
      </w:r>
    </w:p>
  </w:endnote>
  <w:endnote w:type="continuationSeparator" w:id="0">
    <w:p w:rsidR="00011140" w:rsidRDefault="0001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744697"/>
      <w:docPartObj>
        <w:docPartGallery w:val="Page Numbers (Bottom of Page)"/>
        <w:docPartUnique/>
      </w:docPartObj>
    </w:sdtPr>
    <w:sdtEndPr/>
    <w:sdtContent>
      <w:p w:rsidR="00011140" w:rsidRPr="00875C0F" w:rsidRDefault="00101636" w:rsidP="00124536">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336463"/>
      <w:docPartObj>
        <w:docPartGallery w:val="Page Numbers (Bottom of Page)"/>
        <w:docPartUnique/>
      </w:docPartObj>
    </w:sdtPr>
    <w:sdtEndPr/>
    <w:sdtContent>
      <w:p w:rsidR="00011140" w:rsidRPr="00875C0F" w:rsidRDefault="00101636" w:rsidP="00124536">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40" w:rsidRPr="0011178C" w:rsidRDefault="00011140" w:rsidP="003929D2">
    <w:pPr>
      <w:pStyle w:val="Footer"/>
      <w:jc w:val="right"/>
    </w:pPr>
    <w:r>
      <w:fldChar w:fldCharType="begin"/>
    </w:r>
    <w:r>
      <w:instrText xml:space="preserve"> PAGE  \* Arabic  \* MERGEFORMAT </w:instrText>
    </w:r>
    <w:r>
      <w:fldChar w:fldCharType="separate"/>
    </w:r>
    <w:r w:rsidR="00101636">
      <w:rPr>
        <w:noProof/>
      </w:rPr>
      <w:t>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40" w:rsidRPr="007E487F" w:rsidRDefault="00011140"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10163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40" w:rsidRDefault="00011140">
      <w:r>
        <w:separator/>
      </w:r>
    </w:p>
  </w:footnote>
  <w:footnote w:type="continuationSeparator" w:id="0">
    <w:p w:rsidR="00011140" w:rsidRDefault="00011140">
      <w:r>
        <w:continuationSeparator/>
      </w:r>
    </w:p>
  </w:footnote>
  <w:footnote w:id="1">
    <w:p w:rsidR="00011140" w:rsidRDefault="00011140" w:rsidP="00814579">
      <w:pPr>
        <w:pStyle w:val="FootnoteText"/>
      </w:pPr>
      <w:r>
        <w:rPr>
          <w:rStyle w:val="FootnoteReference"/>
        </w:rPr>
        <w:footnoteRef/>
      </w:r>
      <w:r>
        <w:t xml:space="preserve"> </w:t>
      </w:r>
      <w:r>
        <w:tab/>
        <w:t xml:space="preserve">Pensioner Concession Card and Health Care Card holders (other than age pension recipients). </w:t>
      </w:r>
    </w:p>
  </w:footnote>
  <w:footnote w:id="2">
    <w:p w:rsidR="00011140" w:rsidRDefault="00011140" w:rsidP="00F4438E">
      <w:pPr>
        <w:pStyle w:val="FootnoteText"/>
      </w:pPr>
      <w:r>
        <w:rPr>
          <w:rStyle w:val="FootnoteReference"/>
        </w:rPr>
        <w:footnoteRef/>
      </w:r>
      <w:r>
        <w:t xml:space="preserve"> </w:t>
      </w:r>
      <w:r>
        <w:tab/>
        <w:t xml:space="preserve">Productivity Commission, </w:t>
      </w:r>
      <w:r w:rsidRPr="00523EFA">
        <w:rPr>
          <w:i/>
        </w:rPr>
        <w:t>Report on Government Services 201</w:t>
      </w:r>
      <w:r w:rsidR="00506D0D">
        <w:rPr>
          <w:i/>
        </w:rPr>
        <w:t>8</w:t>
      </w:r>
      <w:r>
        <w:t>, Table 19A.</w:t>
      </w:r>
      <w:r w:rsidR="00506D0D">
        <w:t>1</w:t>
      </w:r>
      <w:r>
        <w:t>.</w:t>
      </w:r>
    </w:p>
  </w:footnote>
  <w:footnote w:id="3">
    <w:p w:rsidR="00011140" w:rsidRDefault="00011140">
      <w:pPr>
        <w:pStyle w:val="FootnoteText"/>
      </w:pPr>
      <w:r>
        <w:rPr>
          <w:rStyle w:val="FootnoteReference"/>
        </w:rPr>
        <w:footnoteRef/>
      </w:r>
      <w:r>
        <w:t xml:space="preserve"> </w:t>
      </w:r>
      <w:r>
        <w:tab/>
        <w:t xml:space="preserve">AIHW, </w:t>
      </w:r>
      <w:r w:rsidRPr="009E4E62">
        <w:rPr>
          <w:i/>
        </w:rPr>
        <w:t>Child protection Australia 2015–16</w:t>
      </w:r>
      <w:r>
        <w:t>, pp 16, 52.</w:t>
      </w:r>
    </w:p>
  </w:footnote>
  <w:footnote w:id="4">
    <w:p w:rsidR="00011140" w:rsidRDefault="00011140" w:rsidP="00C970A4">
      <w:pPr>
        <w:pStyle w:val="FootnoteText"/>
      </w:pPr>
      <w:r>
        <w:rPr>
          <w:rStyle w:val="FootnoteReference"/>
        </w:rPr>
        <w:footnoteRef/>
      </w:r>
      <w:r>
        <w:t xml:space="preserve"> </w:t>
      </w:r>
      <w:r>
        <w:tab/>
        <w:t xml:space="preserve">AIHW, </w:t>
      </w:r>
      <w:r w:rsidRPr="009E4E62">
        <w:rPr>
          <w:i/>
        </w:rPr>
        <w:t>Child protection Australia 2015–16</w:t>
      </w:r>
      <w:r>
        <w:t>, pp 26. Substantiations refer to child protection notifications made to relevant authorities where, after investigation, it is concluded that there is reasonable cause to believe the child had been, was being, or was likely to be, abused, neglected or otherwise harmed.</w:t>
      </w:r>
    </w:p>
  </w:footnote>
  <w:footnote w:id="5">
    <w:p w:rsidR="00011140" w:rsidRDefault="00011140" w:rsidP="007B7965">
      <w:pPr>
        <w:pStyle w:val="FootnoteText"/>
      </w:pPr>
      <w:r>
        <w:rPr>
          <w:rStyle w:val="FootnoteReference"/>
        </w:rPr>
        <w:footnoteRef/>
      </w:r>
      <w:r>
        <w:t xml:space="preserve"> </w:t>
      </w:r>
      <w:r>
        <w:tab/>
        <w:t xml:space="preserve">AIHW, </w:t>
      </w:r>
      <w:r w:rsidRPr="009E4E62">
        <w:rPr>
          <w:i/>
        </w:rPr>
        <w:t>Child protection Australia 2015–16</w:t>
      </w:r>
      <w:r>
        <w:t xml:space="preserve">, pp 27. The AIHW measures socio-economic status by allocating the relevant </w:t>
      </w:r>
      <w:r w:rsidRPr="008A4261">
        <w:t>Socio-Economic Indexes for Areas (</w:t>
      </w:r>
      <w:r>
        <w:t xml:space="preserve">SEIFA) population-based (2011 Census population) quintile score to postcode information available for the child or young person. </w:t>
      </w:r>
    </w:p>
  </w:footnote>
  <w:footnote w:id="6">
    <w:p w:rsidR="00011140" w:rsidRDefault="00011140">
      <w:pPr>
        <w:pStyle w:val="FootnoteText"/>
      </w:pPr>
      <w:r>
        <w:rPr>
          <w:rStyle w:val="FootnoteReference"/>
        </w:rPr>
        <w:footnoteRef/>
      </w:r>
      <w:r>
        <w:t xml:space="preserve"> </w:t>
      </w:r>
      <w:r>
        <w:tab/>
        <w:t xml:space="preserve">Parliament of Australia, </w:t>
      </w:r>
      <w:r w:rsidRPr="00104D07">
        <w:rPr>
          <w:i/>
        </w:rPr>
        <w:t>Out of home care</w:t>
      </w:r>
      <w:r>
        <w:t>, available at</w:t>
      </w:r>
      <w:r w:rsidR="001A7E76">
        <w:t xml:space="preserve"> the</w:t>
      </w:r>
      <w:r>
        <w:t xml:space="preserve"> </w:t>
      </w:r>
      <w:hyperlink r:id="rId1" w:history="1">
        <w:r w:rsidR="001A7E76">
          <w:rPr>
            <w:rStyle w:val="Hyperlink"/>
          </w:rPr>
          <w:t>APH website</w:t>
        </w:r>
      </w:hyperlink>
      <w:r w:rsidR="001A7E76">
        <w:t xml:space="preserve"> (</w:t>
      </w:r>
      <w:r w:rsidR="001A7E76" w:rsidRPr="001A7E76">
        <w:t>www.aph.gov.au</w:t>
      </w:r>
      <w:r w:rsidR="001A7E76">
        <w:t>).</w:t>
      </w:r>
      <w:r>
        <w:t xml:space="preserve"> </w:t>
      </w:r>
      <w:r w:rsidR="001A7E76">
        <w:t>A</w:t>
      </w:r>
      <w:r>
        <w:t>ccessed April 2017.</w:t>
      </w:r>
    </w:p>
  </w:footnote>
  <w:footnote w:id="7">
    <w:p w:rsidR="00011140" w:rsidRPr="00FF0A94" w:rsidRDefault="00011140" w:rsidP="001D726C">
      <w:pPr>
        <w:pStyle w:val="FootnoteText"/>
        <w:rPr>
          <w:lang w:val="fr-CA"/>
        </w:rPr>
      </w:pPr>
      <w:r w:rsidRPr="0013729B">
        <w:rPr>
          <w:rStyle w:val="FootnoteReference"/>
        </w:rPr>
        <w:footnoteRef/>
      </w:r>
      <w:r w:rsidRPr="0013729B">
        <w:rPr>
          <w:lang w:val="fr-CA"/>
        </w:rPr>
        <w:t xml:space="preserve"> </w:t>
      </w:r>
      <w:r w:rsidRPr="0013729B">
        <w:rPr>
          <w:lang w:val="fr-CA"/>
        </w:rPr>
        <w:tab/>
      </w:r>
      <w:r w:rsidR="001D726C" w:rsidRPr="0013729B">
        <w:t>Productivity Commission, National Disability Insurance Scheme (NDIS) Costs, October 2017, page 92.</w:t>
      </w:r>
      <w:r w:rsidR="00B54F30">
        <w:t xml:space="preserve"> </w:t>
      </w:r>
      <w:r w:rsidR="00CE6A59">
        <w:t>Available at the</w:t>
      </w:r>
      <w:r w:rsidR="001D726C" w:rsidRPr="0013729B">
        <w:t xml:space="preserve"> </w:t>
      </w:r>
      <w:hyperlink r:id="rId2" w:history="1">
        <w:r w:rsidR="00CE6A59">
          <w:rPr>
            <w:rStyle w:val="Hyperlink"/>
            <w:lang w:val="fr-CA"/>
          </w:rPr>
          <w:t>Productivity Commission website</w:t>
        </w:r>
      </w:hyperlink>
      <w:r w:rsidR="001D726C" w:rsidRPr="0013729B">
        <w:rPr>
          <w:lang w:val="fr-CA"/>
        </w:rPr>
        <w:t xml:space="preserve"> </w:t>
      </w:r>
      <w:r w:rsidR="00CE6A59">
        <w:rPr>
          <w:lang w:val="fr-CA"/>
        </w:rPr>
        <w:t>(</w:t>
      </w:r>
      <w:r w:rsidR="00CE6A59" w:rsidRPr="00CE6A59">
        <w:rPr>
          <w:lang w:val="fr-CA"/>
        </w:rPr>
        <w:t>http://www.pc.gov.au</w:t>
      </w:r>
      <w:r w:rsidR="00CE6A59">
        <w:rPr>
          <w:lang w:val="fr-CA"/>
        </w:rPr>
        <w:t xml:space="preserve">). </w:t>
      </w:r>
      <w:r w:rsidR="006C4AF4">
        <w:t>Accessed</w:t>
      </w:r>
      <w:r w:rsidR="001D726C" w:rsidRPr="0013729B">
        <w:rPr>
          <w:lang w:val="fr-CA"/>
        </w:rPr>
        <w:t xml:space="preserve"> March 2018.</w:t>
      </w:r>
    </w:p>
  </w:footnote>
  <w:footnote w:id="8">
    <w:p w:rsidR="00011140" w:rsidRDefault="00011140">
      <w:pPr>
        <w:pStyle w:val="FootnoteText"/>
      </w:pPr>
      <w:r w:rsidRPr="0013729B">
        <w:rPr>
          <w:rStyle w:val="FootnoteReference"/>
        </w:rPr>
        <w:footnoteRef/>
      </w:r>
      <w:r w:rsidRPr="0013729B">
        <w:t xml:space="preserve"> </w:t>
      </w:r>
      <w:r w:rsidRPr="0013729B">
        <w:tab/>
        <w:t xml:space="preserve">Tasmania’s response to </w:t>
      </w:r>
      <w:r w:rsidR="0013729B">
        <w:t>Staff Research Paper,</w:t>
      </w:r>
      <w:r w:rsidR="0013729B" w:rsidRPr="0013729B">
        <w:t xml:space="preserve"> </w:t>
      </w:r>
      <w:r w:rsidR="00175CF6" w:rsidRPr="0013729B">
        <w:t>CGC 2016-14-S</w:t>
      </w:r>
      <w:r w:rsidR="0013729B" w:rsidRPr="0013729B">
        <w:t>,</w:t>
      </w:r>
      <w:r w:rsidR="00175CF6" w:rsidRPr="0013729B">
        <w:rPr>
          <w:i/>
        </w:rPr>
        <w:t xml:space="preserve"> What States Do - Housing Services</w:t>
      </w:r>
      <w:r w:rsidR="00150F2E" w:rsidRPr="0013729B">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40" w:rsidRDefault="00011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40" w:rsidRDefault="0001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520C02"/>
    <w:multiLevelType w:val="hybridMultilevel"/>
    <w:tmpl w:val="99302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17EA6"/>
    <w:multiLevelType w:val="multilevel"/>
    <w:tmpl w:val="6D0E2F64"/>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2"/>
  </w:num>
  <w:num w:numId="4">
    <w:abstractNumId w:val="16"/>
  </w:num>
  <w:num w:numId="5">
    <w:abstractNumId w:val="16"/>
  </w:num>
  <w:num w:numId="6">
    <w:abstractNumId w:val="5"/>
  </w:num>
  <w:num w:numId="7">
    <w:abstractNumId w:val="5"/>
  </w:num>
  <w:num w:numId="8">
    <w:abstractNumId w:val="5"/>
  </w:num>
  <w:num w:numId="9">
    <w:abstractNumId w:val="5"/>
  </w:num>
  <w:num w:numId="10">
    <w:abstractNumId w:val="15"/>
  </w:num>
  <w:num w:numId="11">
    <w:abstractNumId w:val="6"/>
  </w:num>
  <w:num w:numId="12">
    <w:abstractNumId w:val="2"/>
  </w:num>
  <w:num w:numId="13">
    <w:abstractNumId w:val="16"/>
  </w:num>
  <w:num w:numId="14">
    <w:abstractNumId w:val="5"/>
  </w:num>
  <w:num w:numId="15">
    <w:abstractNumId w:val="5"/>
  </w:num>
  <w:num w:numId="16">
    <w:abstractNumId w:val="5"/>
  </w:num>
  <w:num w:numId="17">
    <w:abstractNumId w:val="5"/>
  </w:num>
  <w:num w:numId="18">
    <w:abstractNumId w:val="0"/>
  </w:num>
  <w:num w:numId="19">
    <w:abstractNumId w:val="10"/>
  </w:num>
  <w:num w:numId="20">
    <w:abstractNumId w:val="11"/>
  </w:num>
  <w:num w:numId="21">
    <w:abstractNumId w:val="3"/>
  </w:num>
  <w:num w:numId="22">
    <w:abstractNumId w:val="8"/>
  </w:num>
  <w:num w:numId="23">
    <w:abstractNumId w:val="14"/>
  </w:num>
  <w:num w:numId="24">
    <w:abstractNumId w:val="4"/>
  </w:num>
  <w:num w:numId="25">
    <w:abstractNumId w:val="12"/>
  </w:num>
  <w:num w:numId="26">
    <w:abstractNumId w:val="2"/>
  </w:num>
  <w:num w:numId="27">
    <w:abstractNumId w:val="9"/>
  </w:num>
  <w:num w:numId="28">
    <w:abstractNumId w:val="13"/>
  </w:num>
  <w:num w:numId="29">
    <w:abstractNumId w:val="7"/>
  </w:num>
  <w:num w:numId="30">
    <w:abstractNumId w:val="6"/>
    <w:lvlOverride w:ilvl="0">
      <w:startOverride w:val="1"/>
    </w:lvlOverride>
  </w:num>
  <w:num w:numId="31">
    <w:abstractNumId w:val="15"/>
  </w:num>
  <w:num w:numId="32">
    <w:abstractNumId w:val="2"/>
  </w:num>
  <w:num w:numId="33">
    <w:abstractNumId w:val="6"/>
  </w:num>
  <w:num w:numId="34">
    <w:abstractNumId w:val="16"/>
  </w:num>
  <w:num w:numId="35">
    <w:abstractNumId w:val="10"/>
  </w:num>
  <w:num w:numId="36">
    <w:abstractNumId w:val="15"/>
  </w:num>
  <w:num w:numId="37">
    <w:abstractNumId w:val="2"/>
  </w:num>
  <w:num w:numId="38">
    <w:abstractNumId w:val="6"/>
  </w:num>
  <w:num w:numId="39">
    <w:abstractNumId w:val="16"/>
  </w:num>
  <w:num w:numId="40">
    <w:abstractNumId w:val="1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5"/>
  </w:num>
  <w:num w:numId="44">
    <w:abstractNumId w:val="15"/>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1"/>
  </w:num>
  <w:num w:numId="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A" w:vendorID="64" w:dllVersion="131078" w:nlCheck="1" w:checkStyle="0"/>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5B"/>
    <w:rsid w:val="00006F51"/>
    <w:rsid w:val="00011140"/>
    <w:rsid w:val="000145DD"/>
    <w:rsid w:val="00016FE0"/>
    <w:rsid w:val="000172A8"/>
    <w:rsid w:val="000215E1"/>
    <w:rsid w:val="00022EA9"/>
    <w:rsid w:val="000241D8"/>
    <w:rsid w:val="00024745"/>
    <w:rsid w:val="00026410"/>
    <w:rsid w:val="00032F41"/>
    <w:rsid w:val="0004123E"/>
    <w:rsid w:val="00041748"/>
    <w:rsid w:val="00041C38"/>
    <w:rsid w:val="00041E84"/>
    <w:rsid w:val="000424EA"/>
    <w:rsid w:val="0004393F"/>
    <w:rsid w:val="00045347"/>
    <w:rsid w:val="000459E3"/>
    <w:rsid w:val="000504E6"/>
    <w:rsid w:val="00052206"/>
    <w:rsid w:val="00053DF2"/>
    <w:rsid w:val="000554BA"/>
    <w:rsid w:val="00056373"/>
    <w:rsid w:val="00061111"/>
    <w:rsid w:val="00061BD4"/>
    <w:rsid w:val="000624BB"/>
    <w:rsid w:val="000648E8"/>
    <w:rsid w:val="00064CB3"/>
    <w:rsid w:val="000734CB"/>
    <w:rsid w:val="000743BA"/>
    <w:rsid w:val="00074D96"/>
    <w:rsid w:val="00075CDC"/>
    <w:rsid w:val="000762BD"/>
    <w:rsid w:val="00076C89"/>
    <w:rsid w:val="00077CA8"/>
    <w:rsid w:val="00081130"/>
    <w:rsid w:val="0008142D"/>
    <w:rsid w:val="00081806"/>
    <w:rsid w:val="00083F28"/>
    <w:rsid w:val="00085AAA"/>
    <w:rsid w:val="00087880"/>
    <w:rsid w:val="00087A9E"/>
    <w:rsid w:val="000921A0"/>
    <w:rsid w:val="00093796"/>
    <w:rsid w:val="000A0E9C"/>
    <w:rsid w:val="000A1051"/>
    <w:rsid w:val="000A1E5E"/>
    <w:rsid w:val="000A3898"/>
    <w:rsid w:val="000A52A1"/>
    <w:rsid w:val="000A5C0C"/>
    <w:rsid w:val="000B0513"/>
    <w:rsid w:val="000B2942"/>
    <w:rsid w:val="000B2BEC"/>
    <w:rsid w:val="000B3557"/>
    <w:rsid w:val="000B6426"/>
    <w:rsid w:val="000B64E3"/>
    <w:rsid w:val="000B6EC0"/>
    <w:rsid w:val="000C4835"/>
    <w:rsid w:val="000D1354"/>
    <w:rsid w:val="000D21C1"/>
    <w:rsid w:val="000D76FC"/>
    <w:rsid w:val="000D7C54"/>
    <w:rsid w:val="000E0210"/>
    <w:rsid w:val="000E4B88"/>
    <w:rsid w:val="000E6AA5"/>
    <w:rsid w:val="000E6E44"/>
    <w:rsid w:val="000E7F56"/>
    <w:rsid w:val="000F077A"/>
    <w:rsid w:val="000F1B2D"/>
    <w:rsid w:val="000F1CDA"/>
    <w:rsid w:val="00101636"/>
    <w:rsid w:val="00101B7B"/>
    <w:rsid w:val="001039C2"/>
    <w:rsid w:val="001040AD"/>
    <w:rsid w:val="00104D07"/>
    <w:rsid w:val="0010505B"/>
    <w:rsid w:val="001076A4"/>
    <w:rsid w:val="00107A93"/>
    <w:rsid w:val="00110576"/>
    <w:rsid w:val="0011178C"/>
    <w:rsid w:val="00112CF0"/>
    <w:rsid w:val="00112F8D"/>
    <w:rsid w:val="00113FA1"/>
    <w:rsid w:val="001148BB"/>
    <w:rsid w:val="00115508"/>
    <w:rsid w:val="00120A72"/>
    <w:rsid w:val="001211AB"/>
    <w:rsid w:val="001218B8"/>
    <w:rsid w:val="00124536"/>
    <w:rsid w:val="00124DF1"/>
    <w:rsid w:val="00124ED1"/>
    <w:rsid w:val="00131889"/>
    <w:rsid w:val="00136497"/>
    <w:rsid w:val="0013729B"/>
    <w:rsid w:val="001376B9"/>
    <w:rsid w:val="00141BD1"/>
    <w:rsid w:val="00142F90"/>
    <w:rsid w:val="00147115"/>
    <w:rsid w:val="001477CE"/>
    <w:rsid w:val="00150F2E"/>
    <w:rsid w:val="00152B3A"/>
    <w:rsid w:val="001535DA"/>
    <w:rsid w:val="00154A28"/>
    <w:rsid w:val="0016351F"/>
    <w:rsid w:val="00165F54"/>
    <w:rsid w:val="0016723A"/>
    <w:rsid w:val="00171486"/>
    <w:rsid w:val="00171A05"/>
    <w:rsid w:val="00172F3A"/>
    <w:rsid w:val="001730FD"/>
    <w:rsid w:val="00173798"/>
    <w:rsid w:val="00173BE6"/>
    <w:rsid w:val="00173E72"/>
    <w:rsid w:val="00175CF6"/>
    <w:rsid w:val="00176609"/>
    <w:rsid w:val="0018056E"/>
    <w:rsid w:val="001807C0"/>
    <w:rsid w:val="001811DE"/>
    <w:rsid w:val="00183205"/>
    <w:rsid w:val="00184C3E"/>
    <w:rsid w:val="00184E91"/>
    <w:rsid w:val="00184EBE"/>
    <w:rsid w:val="00187145"/>
    <w:rsid w:val="001965AA"/>
    <w:rsid w:val="00197034"/>
    <w:rsid w:val="001A69FF"/>
    <w:rsid w:val="001A6C27"/>
    <w:rsid w:val="001A6C96"/>
    <w:rsid w:val="001A7E76"/>
    <w:rsid w:val="001B0110"/>
    <w:rsid w:val="001B3048"/>
    <w:rsid w:val="001B696E"/>
    <w:rsid w:val="001B6A56"/>
    <w:rsid w:val="001C074D"/>
    <w:rsid w:val="001C2BE7"/>
    <w:rsid w:val="001C40E7"/>
    <w:rsid w:val="001C469B"/>
    <w:rsid w:val="001C6A71"/>
    <w:rsid w:val="001D512A"/>
    <w:rsid w:val="001D638B"/>
    <w:rsid w:val="001D6DFA"/>
    <w:rsid w:val="001D6E2E"/>
    <w:rsid w:val="001D726C"/>
    <w:rsid w:val="001D7A68"/>
    <w:rsid w:val="001E0580"/>
    <w:rsid w:val="001E29B4"/>
    <w:rsid w:val="001E6180"/>
    <w:rsid w:val="001E674B"/>
    <w:rsid w:val="001E68FC"/>
    <w:rsid w:val="001F16FC"/>
    <w:rsid w:val="001F31BF"/>
    <w:rsid w:val="001F3CF7"/>
    <w:rsid w:val="001F431F"/>
    <w:rsid w:val="00200AA4"/>
    <w:rsid w:val="0020244B"/>
    <w:rsid w:val="00204026"/>
    <w:rsid w:val="00205564"/>
    <w:rsid w:val="00206955"/>
    <w:rsid w:val="0020763C"/>
    <w:rsid w:val="00207874"/>
    <w:rsid w:val="0021211A"/>
    <w:rsid w:val="00212948"/>
    <w:rsid w:val="002132CC"/>
    <w:rsid w:val="0021339C"/>
    <w:rsid w:val="00214C19"/>
    <w:rsid w:val="00215B5C"/>
    <w:rsid w:val="00217839"/>
    <w:rsid w:val="00225A3B"/>
    <w:rsid w:val="00225D78"/>
    <w:rsid w:val="0023081D"/>
    <w:rsid w:val="0023329C"/>
    <w:rsid w:val="00234E3A"/>
    <w:rsid w:val="00235132"/>
    <w:rsid w:val="00236DC0"/>
    <w:rsid w:val="002373A2"/>
    <w:rsid w:val="00242517"/>
    <w:rsid w:val="0024260B"/>
    <w:rsid w:val="0024401F"/>
    <w:rsid w:val="0024569B"/>
    <w:rsid w:val="00251F81"/>
    <w:rsid w:val="00252021"/>
    <w:rsid w:val="00255B5A"/>
    <w:rsid w:val="00255E39"/>
    <w:rsid w:val="00261BC1"/>
    <w:rsid w:val="002671A2"/>
    <w:rsid w:val="00267496"/>
    <w:rsid w:val="00271FD8"/>
    <w:rsid w:val="0027247F"/>
    <w:rsid w:val="0027356E"/>
    <w:rsid w:val="00273EC8"/>
    <w:rsid w:val="00275B68"/>
    <w:rsid w:val="00276E2A"/>
    <w:rsid w:val="00282700"/>
    <w:rsid w:val="00283C4D"/>
    <w:rsid w:val="002845EA"/>
    <w:rsid w:val="00286EBE"/>
    <w:rsid w:val="00287E6F"/>
    <w:rsid w:val="002930BC"/>
    <w:rsid w:val="00295699"/>
    <w:rsid w:val="00295B70"/>
    <w:rsid w:val="002A09AF"/>
    <w:rsid w:val="002A2A08"/>
    <w:rsid w:val="002A2B90"/>
    <w:rsid w:val="002A2D93"/>
    <w:rsid w:val="002A4E42"/>
    <w:rsid w:val="002A5C80"/>
    <w:rsid w:val="002A77C3"/>
    <w:rsid w:val="002B00B8"/>
    <w:rsid w:val="002B10B0"/>
    <w:rsid w:val="002B13A6"/>
    <w:rsid w:val="002B169C"/>
    <w:rsid w:val="002B6332"/>
    <w:rsid w:val="002B6EFD"/>
    <w:rsid w:val="002B6F33"/>
    <w:rsid w:val="002B79F0"/>
    <w:rsid w:val="002B7C33"/>
    <w:rsid w:val="002B7F3E"/>
    <w:rsid w:val="002C1D9C"/>
    <w:rsid w:val="002C29EE"/>
    <w:rsid w:val="002C366F"/>
    <w:rsid w:val="002C38DB"/>
    <w:rsid w:val="002C467D"/>
    <w:rsid w:val="002C4CA9"/>
    <w:rsid w:val="002C6977"/>
    <w:rsid w:val="002C6E50"/>
    <w:rsid w:val="002C794D"/>
    <w:rsid w:val="002D10BC"/>
    <w:rsid w:val="002D2270"/>
    <w:rsid w:val="002D5111"/>
    <w:rsid w:val="002E25A8"/>
    <w:rsid w:val="002E4A02"/>
    <w:rsid w:val="002E571E"/>
    <w:rsid w:val="002F04DE"/>
    <w:rsid w:val="002F1CD3"/>
    <w:rsid w:val="002F254F"/>
    <w:rsid w:val="002F6E28"/>
    <w:rsid w:val="002F7E68"/>
    <w:rsid w:val="00302075"/>
    <w:rsid w:val="00302E5E"/>
    <w:rsid w:val="00306507"/>
    <w:rsid w:val="00307DEF"/>
    <w:rsid w:val="0031015D"/>
    <w:rsid w:val="00311D33"/>
    <w:rsid w:val="00313664"/>
    <w:rsid w:val="00314093"/>
    <w:rsid w:val="00314F90"/>
    <w:rsid w:val="00316D6F"/>
    <w:rsid w:val="003171E8"/>
    <w:rsid w:val="00317F13"/>
    <w:rsid w:val="00320CF4"/>
    <w:rsid w:val="00322BF5"/>
    <w:rsid w:val="00325EA0"/>
    <w:rsid w:val="00327DA7"/>
    <w:rsid w:val="00327FC7"/>
    <w:rsid w:val="0033102E"/>
    <w:rsid w:val="00331401"/>
    <w:rsid w:val="00333234"/>
    <w:rsid w:val="0033335A"/>
    <w:rsid w:val="00334ED7"/>
    <w:rsid w:val="003354FE"/>
    <w:rsid w:val="00335ED1"/>
    <w:rsid w:val="00336EA3"/>
    <w:rsid w:val="00337EF8"/>
    <w:rsid w:val="00340D5C"/>
    <w:rsid w:val="00342A60"/>
    <w:rsid w:val="0034379D"/>
    <w:rsid w:val="00346389"/>
    <w:rsid w:val="0034646D"/>
    <w:rsid w:val="00347BE5"/>
    <w:rsid w:val="003522E0"/>
    <w:rsid w:val="0035267F"/>
    <w:rsid w:val="0035580D"/>
    <w:rsid w:val="003559CF"/>
    <w:rsid w:val="0035679F"/>
    <w:rsid w:val="00356BC2"/>
    <w:rsid w:val="003639FB"/>
    <w:rsid w:val="00363BF7"/>
    <w:rsid w:val="00365922"/>
    <w:rsid w:val="00366795"/>
    <w:rsid w:val="00371425"/>
    <w:rsid w:val="00371B63"/>
    <w:rsid w:val="0037447B"/>
    <w:rsid w:val="00377BC8"/>
    <w:rsid w:val="00382AE5"/>
    <w:rsid w:val="0038451C"/>
    <w:rsid w:val="00386DEA"/>
    <w:rsid w:val="003923BC"/>
    <w:rsid w:val="003929D2"/>
    <w:rsid w:val="00393A3F"/>
    <w:rsid w:val="00393FA5"/>
    <w:rsid w:val="00397F60"/>
    <w:rsid w:val="003A0171"/>
    <w:rsid w:val="003A0A5F"/>
    <w:rsid w:val="003A1B79"/>
    <w:rsid w:val="003A272D"/>
    <w:rsid w:val="003A27BB"/>
    <w:rsid w:val="003A62C8"/>
    <w:rsid w:val="003B4F0E"/>
    <w:rsid w:val="003B673D"/>
    <w:rsid w:val="003C23E8"/>
    <w:rsid w:val="003C2577"/>
    <w:rsid w:val="003C4448"/>
    <w:rsid w:val="003C5D22"/>
    <w:rsid w:val="003D1339"/>
    <w:rsid w:val="003D3D91"/>
    <w:rsid w:val="003D4708"/>
    <w:rsid w:val="003D477A"/>
    <w:rsid w:val="003D6388"/>
    <w:rsid w:val="003E0272"/>
    <w:rsid w:val="003E4CB2"/>
    <w:rsid w:val="003E5EEB"/>
    <w:rsid w:val="003E6615"/>
    <w:rsid w:val="003E7661"/>
    <w:rsid w:val="003E79F9"/>
    <w:rsid w:val="003F0336"/>
    <w:rsid w:val="003F12E9"/>
    <w:rsid w:val="003F3D36"/>
    <w:rsid w:val="003F59F4"/>
    <w:rsid w:val="003F711E"/>
    <w:rsid w:val="00401547"/>
    <w:rsid w:val="004032A1"/>
    <w:rsid w:val="00404DCD"/>
    <w:rsid w:val="004061CA"/>
    <w:rsid w:val="004077D6"/>
    <w:rsid w:val="004121E7"/>
    <w:rsid w:val="00414E51"/>
    <w:rsid w:val="00420F04"/>
    <w:rsid w:val="0042113A"/>
    <w:rsid w:val="004219AF"/>
    <w:rsid w:val="00421ECC"/>
    <w:rsid w:val="00423099"/>
    <w:rsid w:val="00424E79"/>
    <w:rsid w:val="00425916"/>
    <w:rsid w:val="004261EB"/>
    <w:rsid w:val="0042661C"/>
    <w:rsid w:val="00426B34"/>
    <w:rsid w:val="004274B3"/>
    <w:rsid w:val="004319EA"/>
    <w:rsid w:val="00431C76"/>
    <w:rsid w:val="004332B9"/>
    <w:rsid w:val="004346CC"/>
    <w:rsid w:val="00440E1F"/>
    <w:rsid w:val="00443EC1"/>
    <w:rsid w:val="00444BA5"/>
    <w:rsid w:val="00453264"/>
    <w:rsid w:val="00462B54"/>
    <w:rsid w:val="00463064"/>
    <w:rsid w:val="00466637"/>
    <w:rsid w:val="00466C5A"/>
    <w:rsid w:val="00472461"/>
    <w:rsid w:val="00473A62"/>
    <w:rsid w:val="00474901"/>
    <w:rsid w:val="004809B8"/>
    <w:rsid w:val="004813FB"/>
    <w:rsid w:val="004821B9"/>
    <w:rsid w:val="00483455"/>
    <w:rsid w:val="00491D88"/>
    <w:rsid w:val="0049605C"/>
    <w:rsid w:val="0049608F"/>
    <w:rsid w:val="004965F7"/>
    <w:rsid w:val="0049795A"/>
    <w:rsid w:val="00497A2B"/>
    <w:rsid w:val="00497F07"/>
    <w:rsid w:val="004A340C"/>
    <w:rsid w:val="004A39D9"/>
    <w:rsid w:val="004A6449"/>
    <w:rsid w:val="004A6F55"/>
    <w:rsid w:val="004A7048"/>
    <w:rsid w:val="004B0A0A"/>
    <w:rsid w:val="004B0AE2"/>
    <w:rsid w:val="004B1C4B"/>
    <w:rsid w:val="004B1FC8"/>
    <w:rsid w:val="004B2420"/>
    <w:rsid w:val="004B342A"/>
    <w:rsid w:val="004B5A35"/>
    <w:rsid w:val="004B60CB"/>
    <w:rsid w:val="004C04E3"/>
    <w:rsid w:val="004C1CB5"/>
    <w:rsid w:val="004C2F43"/>
    <w:rsid w:val="004C4DD5"/>
    <w:rsid w:val="004C6C2B"/>
    <w:rsid w:val="004D5147"/>
    <w:rsid w:val="004E2DE0"/>
    <w:rsid w:val="004E769A"/>
    <w:rsid w:val="004F3BEE"/>
    <w:rsid w:val="00500ACD"/>
    <w:rsid w:val="005028AC"/>
    <w:rsid w:val="00504061"/>
    <w:rsid w:val="0050489B"/>
    <w:rsid w:val="00505BAE"/>
    <w:rsid w:val="0050644D"/>
    <w:rsid w:val="00506826"/>
    <w:rsid w:val="00506956"/>
    <w:rsid w:val="00506D0D"/>
    <w:rsid w:val="00507031"/>
    <w:rsid w:val="00507E53"/>
    <w:rsid w:val="00515380"/>
    <w:rsid w:val="005176CA"/>
    <w:rsid w:val="00522932"/>
    <w:rsid w:val="005270C1"/>
    <w:rsid w:val="00527E92"/>
    <w:rsid w:val="0053009F"/>
    <w:rsid w:val="00537A77"/>
    <w:rsid w:val="00540BAF"/>
    <w:rsid w:val="00540E60"/>
    <w:rsid w:val="00541A14"/>
    <w:rsid w:val="00541AC7"/>
    <w:rsid w:val="00542A4A"/>
    <w:rsid w:val="00543F9C"/>
    <w:rsid w:val="00546D39"/>
    <w:rsid w:val="00550E84"/>
    <w:rsid w:val="00551368"/>
    <w:rsid w:val="00553FFF"/>
    <w:rsid w:val="00554800"/>
    <w:rsid w:val="005577B0"/>
    <w:rsid w:val="00562084"/>
    <w:rsid w:val="005640C8"/>
    <w:rsid w:val="0056463B"/>
    <w:rsid w:val="005647CA"/>
    <w:rsid w:val="005657E6"/>
    <w:rsid w:val="00570EED"/>
    <w:rsid w:val="00571491"/>
    <w:rsid w:val="005716FC"/>
    <w:rsid w:val="00575BD3"/>
    <w:rsid w:val="00575DEF"/>
    <w:rsid w:val="00581F29"/>
    <w:rsid w:val="00583A33"/>
    <w:rsid w:val="00584AE9"/>
    <w:rsid w:val="005867D2"/>
    <w:rsid w:val="005912FD"/>
    <w:rsid w:val="00591F67"/>
    <w:rsid w:val="005926EC"/>
    <w:rsid w:val="005929B8"/>
    <w:rsid w:val="0059591D"/>
    <w:rsid w:val="005963CC"/>
    <w:rsid w:val="00596E19"/>
    <w:rsid w:val="005A0B13"/>
    <w:rsid w:val="005A1813"/>
    <w:rsid w:val="005A1942"/>
    <w:rsid w:val="005A241E"/>
    <w:rsid w:val="005A4CAD"/>
    <w:rsid w:val="005A4D21"/>
    <w:rsid w:val="005A53F6"/>
    <w:rsid w:val="005A6A16"/>
    <w:rsid w:val="005A6FED"/>
    <w:rsid w:val="005B1BC4"/>
    <w:rsid w:val="005B2361"/>
    <w:rsid w:val="005B60C7"/>
    <w:rsid w:val="005B6894"/>
    <w:rsid w:val="005C13B2"/>
    <w:rsid w:val="005C27E3"/>
    <w:rsid w:val="005C37CB"/>
    <w:rsid w:val="005C459C"/>
    <w:rsid w:val="005C7935"/>
    <w:rsid w:val="005D1A9F"/>
    <w:rsid w:val="005D3E01"/>
    <w:rsid w:val="005D4AF4"/>
    <w:rsid w:val="005D52FA"/>
    <w:rsid w:val="005D58A8"/>
    <w:rsid w:val="005D6849"/>
    <w:rsid w:val="005D6B99"/>
    <w:rsid w:val="005D6DB7"/>
    <w:rsid w:val="005E09FF"/>
    <w:rsid w:val="005E266F"/>
    <w:rsid w:val="005E284C"/>
    <w:rsid w:val="005E2C7A"/>
    <w:rsid w:val="005E5734"/>
    <w:rsid w:val="005E664B"/>
    <w:rsid w:val="005E73CE"/>
    <w:rsid w:val="005F07DC"/>
    <w:rsid w:val="005F33C3"/>
    <w:rsid w:val="005F38AF"/>
    <w:rsid w:val="005F424F"/>
    <w:rsid w:val="005F5A48"/>
    <w:rsid w:val="005F64FB"/>
    <w:rsid w:val="005F7AEB"/>
    <w:rsid w:val="0060251E"/>
    <w:rsid w:val="00602DDE"/>
    <w:rsid w:val="00606849"/>
    <w:rsid w:val="00606E7E"/>
    <w:rsid w:val="00610359"/>
    <w:rsid w:val="00611737"/>
    <w:rsid w:val="0061198E"/>
    <w:rsid w:val="006142B1"/>
    <w:rsid w:val="00614DE8"/>
    <w:rsid w:val="00616A1C"/>
    <w:rsid w:val="006177BD"/>
    <w:rsid w:val="0062101A"/>
    <w:rsid w:val="00622669"/>
    <w:rsid w:val="00622FE1"/>
    <w:rsid w:val="00625CE5"/>
    <w:rsid w:val="00627B88"/>
    <w:rsid w:val="00635027"/>
    <w:rsid w:val="00642728"/>
    <w:rsid w:val="006449E5"/>
    <w:rsid w:val="00644A7B"/>
    <w:rsid w:val="006513E6"/>
    <w:rsid w:val="006533AE"/>
    <w:rsid w:val="0065440C"/>
    <w:rsid w:val="006556D9"/>
    <w:rsid w:val="0065601C"/>
    <w:rsid w:val="006577FF"/>
    <w:rsid w:val="00661C46"/>
    <w:rsid w:val="006652D3"/>
    <w:rsid w:val="00666DC4"/>
    <w:rsid w:val="00667CF3"/>
    <w:rsid w:val="006769C4"/>
    <w:rsid w:val="00677627"/>
    <w:rsid w:val="00677BD5"/>
    <w:rsid w:val="0068025E"/>
    <w:rsid w:val="0068261A"/>
    <w:rsid w:val="00683CE9"/>
    <w:rsid w:val="00685545"/>
    <w:rsid w:val="00685C55"/>
    <w:rsid w:val="006878DD"/>
    <w:rsid w:val="006919EE"/>
    <w:rsid w:val="00693C87"/>
    <w:rsid w:val="0069476E"/>
    <w:rsid w:val="00697DE7"/>
    <w:rsid w:val="006A05C7"/>
    <w:rsid w:val="006A14F4"/>
    <w:rsid w:val="006A1A95"/>
    <w:rsid w:val="006A1B5E"/>
    <w:rsid w:val="006A5A23"/>
    <w:rsid w:val="006A607B"/>
    <w:rsid w:val="006A6E27"/>
    <w:rsid w:val="006A6ED1"/>
    <w:rsid w:val="006A72B0"/>
    <w:rsid w:val="006B2FAE"/>
    <w:rsid w:val="006B3E4D"/>
    <w:rsid w:val="006B3F54"/>
    <w:rsid w:val="006B4623"/>
    <w:rsid w:val="006B60B9"/>
    <w:rsid w:val="006B63BB"/>
    <w:rsid w:val="006C06CF"/>
    <w:rsid w:val="006C2565"/>
    <w:rsid w:val="006C4AF4"/>
    <w:rsid w:val="006C52B9"/>
    <w:rsid w:val="006C645B"/>
    <w:rsid w:val="006C7E6B"/>
    <w:rsid w:val="006D1DFE"/>
    <w:rsid w:val="006D1FF7"/>
    <w:rsid w:val="006D64D2"/>
    <w:rsid w:val="006D6538"/>
    <w:rsid w:val="006D6D88"/>
    <w:rsid w:val="006E4EF3"/>
    <w:rsid w:val="006E6BC2"/>
    <w:rsid w:val="006E77BB"/>
    <w:rsid w:val="006E7EE4"/>
    <w:rsid w:val="006F0B1D"/>
    <w:rsid w:val="006F3261"/>
    <w:rsid w:val="006F548F"/>
    <w:rsid w:val="006F73EF"/>
    <w:rsid w:val="00700E5B"/>
    <w:rsid w:val="0070119A"/>
    <w:rsid w:val="0070150E"/>
    <w:rsid w:val="00703872"/>
    <w:rsid w:val="00705DB8"/>
    <w:rsid w:val="00713225"/>
    <w:rsid w:val="00715F80"/>
    <w:rsid w:val="00717D47"/>
    <w:rsid w:val="007246BC"/>
    <w:rsid w:val="0072498B"/>
    <w:rsid w:val="0072512A"/>
    <w:rsid w:val="007268B1"/>
    <w:rsid w:val="007275F6"/>
    <w:rsid w:val="007279EF"/>
    <w:rsid w:val="00731EE6"/>
    <w:rsid w:val="007355A6"/>
    <w:rsid w:val="007362EA"/>
    <w:rsid w:val="007404DB"/>
    <w:rsid w:val="00740A71"/>
    <w:rsid w:val="007448B8"/>
    <w:rsid w:val="007459F9"/>
    <w:rsid w:val="007477C5"/>
    <w:rsid w:val="00747938"/>
    <w:rsid w:val="00754AF6"/>
    <w:rsid w:val="00756393"/>
    <w:rsid w:val="007625CD"/>
    <w:rsid w:val="00762AFB"/>
    <w:rsid w:val="00765BA8"/>
    <w:rsid w:val="00766007"/>
    <w:rsid w:val="00770001"/>
    <w:rsid w:val="00770A26"/>
    <w:rsid w:val="0077169E"/>
    <w:rsid w:val="00773643"/>
    <w:rsid w:val="00775CC8"/>
    <w:rsid w:val="0078050D"/>
    <w:rsid w:val="00783C2C"/>
    <w:rsid w:val="00785FA3"/>
    <w:rsid w:val="00786BFF"/>
    <w:rsid w:val="007904CB"/>
    <w:rsid w:val="00790505"/>
    <w:rsid w:val="00790772"/>
    <w:rsid w:val="00790EEB"/>
    <w:rsid w:val="00796319"/>
    <w:rsid w:val="00796581"/>
    <w:rsid w:val="007A1364"/>
    <w:rsid w:val="007A24A0"/>
    <w:rsid w:val="007A4152"/>
    <w:rsid w:val="007A4AA6"/>
    <w:rsid w:val="007A4AB2"/>
    <w:rsid w:val="007A5E68"/>
    <w:rsid w:val="007A613A"/>
    <w:rsid w:val="007A6517"/>
    <w:rsid w:val="007A7E34"/>
    <w:rsid w:val="007B1BF7"/>
    <w:rsid w:val="007B2AE8"/>
    <w:rsid w:val="007B5E50"/>
    <w:rsid w:val="007B7965"/>
    <w:rsid w:val="007B7DCC"/>
    <w:rsid w:val="007C404B"/>
    <w:rsid w:val="007C4BAE"/>
    <w:rsid w:val="007D1D3B"/>
    <w:rsid w:val="007D411D"/>
    <w:rsid w:val="007D5960"/>
    <w:rsid w:val="007E04BA"/>
    <w:rsid w:val="007E114E"/>
    <w:rsid w:val="007E190A"/>
    <w:rsid w:val="007E42F4"/>
    <w:rsid w:val="007E487F"/>
    <w:rsid w:val="007E4B2D"/>
    <w:rsid w:val="007E587D"/>
    <w:rsid w:val="007E5DD9"/>
    <w:rsid w:val="007E71E9"/>
    <w:rsid w:val="007F1D06"/>
    <w:rsid w:val="007F3CCE"/>
    <w:rsid w:val="007F78C5"/>
    <w:rsid w:val="00800F2C"/>
    <w:rsid w:val="008010D7"/>
    <w:rsid w:val="008024BB"/>
    <w:rsid w:val="00803443"/>
    <w:rsid w:val="0080515C"/>
    <w:rsid w:val="0080573F"/>
    <w:rsid w:val="0080680D"/>
    <w:rsid w:val="008118D0"/>
    <w:rsid w:val="00812C05"/>
    <w:rsid w:val="0081322A"/>
    <w:rsid w:val="00814579"/>
    <w:rsid w:val="008162AB"/>
    <w:rsid w:val="0081783A"/>
    <w:rsid w:val="00821A4E"/>
    <w:rsid w:val="00830089"/>
    <w:rsid w:val="00833D63"/>
    <w:rsid w:val="00834516"/>
    <w:rsid w:val="00835CFE"/>
    <w:rsid w:val="00843E6F"/>
    <w:rsid w:val="00844A03"/>
    <w:rsid w:val="00846E4A"/>
    <w:rsid w:val="00847282"/>
    <w:rsid w:val="00851AF5"/>
    <w:rsid w:val="00851FB5"/>
    <w:rsid w:val="00852A1B"/>
    <w:rsid w:val="00855937"/>
    <w:rsid w:val="008579BB"/>
    <w:rsid w:val="008647DE"/>
    <w:rsid w:val="00864B95"/>
    <w:rsid w:val="0086703A"/>
    <w:rsid w:val="0087572F"/>
    <w:rsid w:val="00875D27"/>
    <w:rsid w:val="0087681B"/>
    <w:rsid w:val="00876887"/>
    <w:rsid w:val="008800D3"/>
    <w:rsid w:val="00886CDD"/>
    <w:rsid w:val="0089214D"/>
    <w:rsid w:val="00893747"/>
    <w:rsid w:val="00893C0D"/>
    <w:rsid w:val="0089562D"/>
    <w:rsid w:val="00897022"/>
    <w:rsid w:val="008A20DA"/>
    <w:rsid w:val="008A2B1A"/>
    <w:rsid w:val="008A38F7"/>
    <w:rsid w:val="008A419F"/>
    <w:rsid w:val="008A4261"/>
    <w:rsid w:val="008B16F1"/>
    <w:rsid w:val="008B479F"/>
    <w:rsid w:val="008B5C8F"/>
    <w:rsid w:val="008B5F16"/>
    <w:rsid w:val="008B7722"/>
    <w:rsid w:val="008C042D"/>
    <w:rsid w:val="008C0B13"/>
    <w:rsid w:val="008C0E5C"/>
    <w:rsid w:val="008C29C6"/>
    <w:rsid w:val="008C3B03"/>
    <w:rsid w:val="008C4CE8"/>
    <w:rsid w:val="008D057D"/>
    <w:rsid w:val="008D1362"/>
    <w:rsid w:val="008D1476"/>
    <w:rsid w:val="008D348B"/>
    <w:rsid w:val="008D3925"/>
    <w:rsid w:val="008E2BE4"/>
    <w:rsid w:val="008E5532"/>
    <w:rsid w:val="008E5FF9"/>
    <w:rsid w:val="008E6B4E"/>
    <w:rsid w:val="008E775C"/>
    <w:rsid w:val="008E7970"/>
    <w:rsid w:val="008E7C34"/>
    <w:rsid w:val="008F0593"/>
    <w:rsid w:val="008F0C36"/>
    <w:rsid w:val="008F377B"/>
    <w:rsid w:val="0090143F"/>
    <w:rsid w:val="0090471A"/>
    <w:rsid w:val="0090532F"/>
    <w:rsid w:val="00907829"/>
    <w:rsid w:val="00911B91"/>
    <w:rsid w:val="00914211"/>
    <w:rsid w:val="00915512"/>
    <w:rsid w:val="00920E05"/>
    <w:rsid w:val="00921AB3"/>
    <w:rsid w:val="009233CC"/>
    <w:rsid w:val="00923A25"/>
    <w:rsid w:val="009240D8"/>
    <w:rsid w:val="009279DD"/>
    <w:rsid w:val="00930C01"/>
    <w:rsid w:val="00931F86"/>
    <w:rsid w:val="009343F5"/>
    <w:rsid w:val="009360D7"/>
    <w:rsid w:val="009362C9"/>
    <w:rsid w:val="00937126"/>
    <w:rsid w:val="00940F00"/>
    <w:rsid w:val="00942387"/>
    <w:rsid w:val="00942F45"/>
    <w:rsid w:val="0094330B"/>
    <w:rsid w:val="0094355B"/>
    <w:rsid w:val="00945EEF"/>
    <w:rsid w:val="0094626F"/>
    <w:rsid w:val="009462D2"/>
    <w:rsid w:val="00950419"/>
    <w:rsid w:val="0095053D"/>
    <w:rsid w:val="009568ED"/>
    <w:rsid w:val="009637E5"/>
    <w:rsid w:val="0096406E"/>
    <w:rsid w:val="009652D5"/>
    <w:rsid w:val="009658E1"/>
    <w:rsid w:val="00966278"/>
    <w:rsid w:val="0096664D"/>
    <w:rsid w:val="009677F8"/>
    <w:rsid w:val="00971146"/>
    <w:rsid w:val="00972A9A"/>
    <w:rsid w:val="009738DE"/>
    <w:rsid w:val="00980937"/>
    <w:rsid w:val="009816A2"/>
    <w:rsid w:val="00982BEF"/>
    <w:rsid w:val="00986684"/>
    <w:rsid w:val="00991675"/>
    <w:rsid w:val="00992008"/>
    <w:rsid w:val="00992465"/>
    <w:rsid w:val="009943EA"/>
    <w:rsid w:val="00996409"/>
    <w:rsid w:val="00996D00"/>
    <w:rsid w:val="009A03DC"/>
    <w:rsid w:val="009A5771"/>
    <w:rsid w:val="009A5EEE"/>
    <w:rsid w:val="009A6CF3"/>
    <w:rsid w:val="009A7A72"/>
    <w:rsid w:val="009B43BF"/>
    <w:rsid w:val="009B4A2D"/>
    <w:rsid w:val="009B6A37"/>
    <w:rsid w:val="009B739C"/>
    <w:rsid w:val="009B7CBA"/>
    <w:rsid w:val="009B7D81"/>
    <w:rsid w:val="009C0993"/>
    <w:rsid w:val="009C1E0B"/>
    <w:rsid w:val="009C537D"/>
    <w:rsid w:val="009D249D"/>
    <w:rsid w:val="009D50A1"/>
    <w:rsid w:val="009D5228"/>
    <w:rsid w:val="009D527B"/>
    <w:rsid w:val="009D535F"/>
    <w:rsid w:val="009D545A"/>
    <w:rsid w:val="009D558D"/>
    <w:rsid w:val="009D6D44"/>
    <w:rsid w:val="009E22FA"/>
    <w:rsid w:val="009E4744"/>
    <w:rsid w:val="009E4E62"/>
    <w:rsid w:val="009E4EC9"/>
    <w:rsid w:val="009E5D5A"/>
    <w:rsid w:val="009F1730"/>
    <w:rsid w:val="009F2262"/>
    <w:rsid w:val="009F4ADA"/>
    <w:rsid w:val="009F5E08"/>
    <w:rsid w:val="009F6A0D"/>
    <w:rsid w:val="009F7D41"/>
    <w:rsid w:val="00A0121E"/>
    <w:rsid w:val="00A06DCC"/>
    <w:rsid w:val="00A07991"/>
    <w:rsid w:val="00A10647"/>
    <w:rsid w:val="00A10CDE"/>
    <w:rsid w:val="00A112F0"/>
    <w:rsid w:val="00A13E58"/>
    <w:rsid w:val="00A1680D"/>
    <w:rsid w:val="00A23AB0"/>
    <w:rsid w:val="00A2627B"/>
    <w:rsid w:val="00A266C5"/>
    <w:rsid w:val="00A309C6"/>
    <w:rsid w:val="00A32E4E"/>
    <w:rsid w:val="00A44AC5"/>
    <w:rsid w:val="00A46CF1"/>
    <w:rsid w:val="00A47570"/>
    <w:rsid w:val="00A505DE"/>
    <w:rsid w:val="00A51BE4"/>
    <w:rsid w:val="00A52E27"/>
    <w:rsid w:val="00A53101"/>
    <w:rsid w:val="00A5327C"/>
    <w:rsid w:val="00A5721C"/>
    <w:rsid w:val="00A62897"/>
    <w:rsid w:val="00A657CA"/>
    <w:rsid w:val="00A674AF"/>
    <w:rsid w:val="00A67913"/>
    <w:rsid w:val="00A715DE"/>
    <w:rsid w:val="00A7295B"/>
    <w:rsid w:val="00A76D84"/>
    <w:rsid w:val="00A804E5"/>
    <w:rsid w:val="00A81603"/>
    <w:rsid w:val="00A81A94"/>
    <w:rsid w:val="00A843A5"/>
    <w:rsid w:val="00A86DA8"/>
    <w:rsid w:val="00A92E31"/>
    <w:rsid w:val="00A92F47"/>
    <w:rsid w:val="00A9681E"/>
    <w:rsid w:val="00AA007A"/>
    <w:rsid w:val="00AA7E97"/>
    <w:rsid w:val="00AB073E"/>
    <w:rsid w:val="00AB1A13"/>
    <w:rsid w:val="00AB4E9F"/>
    <w:rsid w:val="00AC0DA7"/>
    <w:rsid w:val="00AC210F"/>
    <w:rsid w:val="00AC2C93"/>
    <w:rsid w:val="00AC319E"/>
    <w:rsid w:val="00AC3332"/>
    <w:rsid w:val="00AC3A37"/>
    <w:rsid w:val="00AC4BCB"/>
    <w:rsid w:val="00AC55E1"/>
    <w:rsid w:val="00AC59F4"/>
    <w:rsid w:val="00AC7C92"/>
    <w:rsid w:val="00AD0966"/>
    <w:rsid w:val="00AE1326"/>
    <w:rsid w:val="00AE3A1E"/>
    <w:rsid w:val="00AE734F"/>
    <w:rsid w:val="00AF0920"/>
    <w:rsid w:val="00AF25ED"/>
    <w:rsid w:val="00AF2656"/>
    <w:rsid w:val="00AF31E1"/>
    <w:rsid w:val="00AF6110"/>
    <w:rsid w:val="00AF6AC6"/>
    <w:rsid w:val="00AF7388"/>
    <w:rsid w:val="00B00611"/>
    <w:rsid w:val="00B01A1A"/>
    <w:rsid w:val="00B04354"/>
    <w:rsid w:val="00B04EBA"/>
    <w:rsid w:val="00B051F9"/>
    <w:rsid w:val="00B12B76"/>
    <w:rsid w:val="00B1480E"/>
    <w:rsid w:val="00B1660E"/>
    <w:rsid w:val="00B2007D"/>
    <w:rsid w:val="00B249FC"/>
    <w:rsid w:val="00B30193"/>
    <w:rsid w:val="00B315DE"/>
    <w:rsid w:val="00B317E7"/>
    <w:rsid w:val="00B33A57"/>
    <w:rsid w:val="00B34083"/>
    <w:rsid w:val="00B34B93"/>
    <w:rsid w:val="00B359A4"/>
    <w:rsid w:val="00B37728"/>
    <w:rsid w:val="00B4068D"/>
    <w:rsid w:val="00B40A08"/>
    <w:rsid w:val="00B41CFA"/>
    <w:rsid w:val="00B421F2"/>
    <w:rsid w:val="00B447E7"/>
    <w:rsid w:val="00B45B0E"/>
    <w:rsid w:val="00B45C64"/>
    <w:rsid w:val="00B46A32"/>
    <w:rsid w:val="00B46B29"/>
    <w:rsid w:val="00B46D42"/>
    <w:rsid w:val="00B5083B"/>
    <w:rsid w:val="00B53547"/>
    <w:rsid w:val="00B53597"/>
    <w:rsid w:val="00B54F30"/>
    <w:rsid w:val="00B55650"/>
    <w:rsid w:val="00B55D3E"/>
    <w:rsid w:val="00B56994"/>
    <w:rsid w:val="00B624C4"/>
    <w:rsid w:val="00B62590"/>
    <w:rsid w:val="00B627A6"/>
    <w:rsid w:val="00B632FA"/>
    <w:rsid w:val="00B6694D"/>
    <w:rsid w:val="00B6729F"/>
    <w:rsid w:val="00B74547"/>
    <w:rsid w:val="00B74B90"/>
    <w:rsid w:val="00B80F6C"/>
    <w:rsid w:val="00B81548"/>
    <w:rsid w:val="00B8177D"/>
    <w:rsid w:val="00B82627"/>
    <w:rsid w:val="00B82A2A"/>
    <w:rsid w:val="00B83618"/>
    <w:rsid w:val="00B85FDE"/>
    <w:rsid w:val="00B87092"/>
    <w:rsid w:val="00B870CD"/>
    <w:rsid w:val="00B87AA8"/>
    <w:rsid w:val="00B87B32"/>
    <w:rsid w:val="00B90AA7"/>
    <w:rsid w:val="00B91DF7"/>
    <w:rsid w:val="00B94093"/>
    <w:rsid w:val="00B94335"/>
    <w:rsid w:val="00B963EE"/>
    <w:rsid w:val="00BA4C4B"/>
    <w:rsid w:val="00BA65E5"/>
    <w:rsid w:val="00BA6CDE"/>
    <w:rsid w:val="00BB0682"/>
    <w:rsid w:val="00BB09DF"/>
    <w:rsid w:val="00BB17C8"/>
    <w:rsid w:val="00BB3FC5"/>
    <w:rsid w:val="00BB55C7"/>
    <w:rsid w:val="00BB56DB"/>
    <w:rsid w:val="00BB6C17"/>
    <w:rsid w:val="00BB7271"/>
    <w:rsid w:val="00BC228E"/>
    <w:rsid w:val="00BC2B3B"/>
    <w:rsid w:val="00BC4579"/>
    <w:rsid w:val="00BC5630"/>
    <w:rsid w:val="00BC7F42"/>
    <w:rsid w:val="00BD0AD3"/>
    <w:rsid w:val="00BD267E"/>
    <w:rsid w:val="00BD3D24"/>
    <w:rsid w:val="00BE4CA1"/>
    <w:rsid w:val="00BE53D3"/>
    <w:rsid w:val="00BE64E9"/>
    <w:rsid w:val="00BF4F29"/>
    <w:rsid w:val="00BF71FC"/>
    <w:rsid w:val="00C0018A"/>
    <w:rsid w:val="00C00905"/>
    <w:rsid w:val="00C00BDF"/>
    <w:rsid w:val="00C035B5"/>
    <w:rsid w:val="00C06DC0"/>
    <w:rsid w:val="00C1008B"/>
    <w:rsid w:val="00C11ABD"/>
    <w:rsid w:val="00C14FB2"/>
    <w:rsid w:val="00C170D3"/>
    <w:rsid w:val="00C176AC"/>
    <w:rsid w:val="00C17D70"/>
    <w:rsid w:val="00C204EA"/>
    <w:rsid w:val="00C21D5B"/>
    <w:rsid w:val="00C21EF9"/>
    <w:rsid w:val="00C222F7"/>
    <w:rsid w:val="00C24839"/>
    <w:rsid w:val="00C24DFC"/>
    <w:rsid w:val="00C25B2C"/>
    <w:rsid w:val="00C27C23"/>
    <w:rsid w:val="00C3140C"/>
    <w:rsid w:val="00C41C84"/>
    <w:rsid w:val="00C4554D"/>
    <w:rsid w:val="00C476B4"/>
    <w:rsid w:val="00C47908"/>
    <w:rsid w:val="00C51731"/>
    <w:rsid w:val="00C554D4"/>
    <w:rsid w:val="00C57348"/>
    <w:rsid w:val="00C60870"/>
    <w:rsid w:val="00C61241"/>
    <w:rsid w:val="00C61B02"/>
    <w:rsid w:val="00C6384C"/>
    <w:rsid w:val="00C719A2"/>
    <w:rsid w:val="00C72165"/>
    <w:rsid w:val="00C76756"/>
    <w:rsid w:val="00C81189"/>
    <w:rsid w:val="00C83041"/>
    <w:rsid w:val="00C83944"/>
    <w:rsid w:val="00C85E80"/>
    <w:rsid w:val="00C90B42"/>
    <w:rsid w:val="00C93343"/>
    <w:rsid w:val="00C9475D"/>
    <w:rsid w:val="00C948DA"/>
    <w:rsid w:val="00C95056"/>
    <w:rsid w:val="00C951FD"/>
    <w:rsid w:val="00C970A4"/>
    <w:rsid w:val="00C973C2"/>
    <w:rsid w:val="00C97D3B"/>
    <w:rsid w:val="00CA0648"/>
    <w:rsid w:val="00CA2C8F"/>
    <w:rsid w:val="00CA7F28"/>
    <w:rsid w:val="00CB0768"/>
    <w:rsid w:val="00CB131F"/>
    <w:rsid w:val="00CB4DCD"/>
    <w:rsid w:val="00CB4F1A"/>
    <w:rsid w:val="00CB4F2D"/>
    <w:rsid w:val="00CC1690"/>
    <w:rsid w:val="00CC266A"/>
    <w:rsid w:val="00CC4C4A"/>
    <w:rsid w:val="00CC5027"/>
    <w:rsid w:val="00CC665A"/>
    <w:rsid w:val="00CD0C68"/>
    <w:rsid w:val="00CD3716"/>
    <w:rsid w:val="00CD7DF4"/>
    <w:rsid w:val="00CE04A0"/>
    <w:rsid w:val="00CE1E3C"/>
    <w:rsid w:val="00CE34DC"/>
    <w:rsid w:val="00CE6888"/>
    <w:rsid w:val="00CE6A59"/>
    <w:rsid w:val="00CE7EAC"/>
    <w:rsid w:val="00CF02DC"/>
    <w:rsid w:val="00CF1608"/>
    <w:rsid w:val="00CF71F2"/>
    <w:rsid w:val="00D01374"/>
    <w:rsid w:val="00D07265"/>
    <w:rsid w:val="00D07D74"/>
    <w:rsid w:val="00D07FB4"/>
    <w:rsid w:val="00D15F2E"/>
    <w:rsid w:val="00D16822"/>
    <w:rsid w:val="00D17315"/>
    <w:rsid w:val="00D2059A"/>
    <w:rsid w:val="00D21FA8"/>
    <w:rsid w:val="00D236B7"/>
    <w:rsid w:val="00D23E48"/>
    <w:rsid w:val="00D244BE"/>
    <w:rsid w:val="00D26071"/>
    <w:rsid w:val="00D26F63"/>
    <w:rsid w:val="00D27350"/>
    <w:rsid w:val="00D30A26"/>
    <w:rsid w:val="00D3426E"/>
    <w:rsid w:val="00D36B4A"/>
    <w:rsid w:val="00D40C87"/>
    <w:rsid w:val="00D43096"/>
    <w:rsid w:val="00D46AB2"/>
    <w:rsid w:val="00D47815"/>
    <w:rsid w:val="00D50174"/>
    <w:rsid w:val="00D55A39"/>
    <w:rsid w:val="00D561FB"/>
    <w:rsid w:val="00D63268"/>
    <w:rsid w:val="00D656EB"/>
    <w:rsid w:val="00D65CF2"/>
    <w:rsid w:val="00D66684"/>
    <w:rsid w:val="00D66A39"/>
    <w:rsid w:val="00D70C94"/>
    <w:rsid w:val="00D70E77"/>
    <w:rsid w:val="00D70EC0"/>
    <w:rsid w:val="00D73BD0"/>
    <w:rsid w:val="00D76DEC"/>
    <w:rsid w:val="00D771FD"/>
    <w:rsid w:val="00D7796D"/>
    <w:rsid w:val="00D77C76"/>
    <w:rsid w:val="00D81B18"/>
    <w:rsid w:val="00D83541"/>
    <w:rsid w:val="00D907BA"/>
    <w:rsid w:val="00D91331"/>
    <w:rsid w:val="00D93A16"/>
    <w:rsid w:val="00D9496D"/>
    <w:rsid w:val="00D95D8E"/>
    <w:rsid w:val="00D97140"/>
    <w:rsid w:val="00DA0768"/>
    <w:rsid w:val="00DA161A"/>
    <w:rsid w:val="00DA308C"/>
    <w:rsid w:val="00DA3F41"/>
    <w:rsid w:val="00DA5952"/>
    <w:rsid w:val="00DA5A94"/>
    <w:rsid w:val="00DA7C87"/>
    <w:rsid w:val="00DB2355"/>
    <w:rsid w:val="00DB3BB4"/>
    <w:rsid w:val="00DB5345"/>
    <w:rsid w:val="00DB5419"/>
    <w:rsid w:val="00DB633E"/>
    <w:rsid w:val="00DC0F02"/>
    <w:rsid w:val="00DC0F8D"/>
    <w:rsid w:val="00DC2284"/>
    <w:rsid w:val="00DC3CA4"/>
    <w:rsid w:val="00DC4F08"/>
    <w:rsid w:val="00DC5784"/>
    <w:rsid w:val="00DD2F85"/>
    <w:rsid w:val="00DE4578"/>
    <w:rsid w:val="00DE6084"/>
    <w:rsid w:val="00DF04EE"/>
    <w:rsid w:val="00DF3E35"/>
    <w:rsid w:val="00DF482C"/>
    <w:rsid w:val="00E009E5"/>
    <w:rsid w:val="00E03ED5"/>
    <w:rsid w:val="00E049DB"/>
    <w:rsid w:val="00E06243"/>
    <w:rsid w:val="00E07169"/>
    <w:rsid w:val="00E136CA"/>
    <w:rsid w:val="00E1688C"/>
    <w:rsid w:val="00E22665"/>
    <w:rsid w:val="00E24619"/>
    <w:rsid w:val="00E26BEC"/>
    <w:rsid w:val="00E30499"/>
    <w:rsid w:val="00E30B51"/>
    <w:rsid w:val="00E321F0"/>
    <w:rsid w:val="00E324BB"/>
    <w:rsid w:val="00E33EF2"/>
    <w:rsid w:val="00E3583E"/>
    <w:rsid w:val="00E377E8"/>
    <w:rsid w:val="00E43464"/>
    <w:rsid w:val="00E47A69"/>
    <w:rsid w:val="00E500D1"/>
    <w:rsid w:val="00E5337C"/>
    <w:rsid w:val="00E54025"/>
    <w:rsid w:val="00E553D6"/>
    <w:rsid w:val="00E571BB"/>
    <w:rsid w:val="00E65D22"/>
    <w:rsid w:val="00E74435"/>
    <w:rsid w:val="00E758AD"/>
    <w:rsid w:val="00E76EFD"/>
    <w:rsid w:val="00E77D4E"/>
    <w:rsid w:val="00E91860"/>
    <w:rsid w:val="00E91DD5"/>
    <w:rsid w:val="00E954B7"/>
    <w:rsid w:val="00E95A1B"/>
    <w:rsid w:val="00E96FDB"/>
    <w:rsid w:val="00EA0A3F"/>
    <w:rsid w:val="00EA107B"/>
    <w:rsid w:val="00EA4005"/>
    <w:rsid w:val="00EB09A3"/>
    <w:rsid w:val="00EB29E7"/>
    <w:rsid w:val="00EB2B92"/>
    <w:rsid w:val="00EB62F7"/>
    <w:rsid w:val="00EB6C7F"/>
    <w:rsid w:val="00EC16F1"/>
    <w:rsid w:val="00ED05D6"/>
    <w:rsid w:val="00ED08BB"/>
    <w:rsid w:val="00ED0C6F"/>
    <w:rsid w:val="00ED2E7C"/>
    <w:rsid w:val="00ED2FCC"/>
    <w:rsid w:val="00EE156F"/>
    <w:rsid w:val="00EE1F28"/>
    <w:rsid w:val="00EE5F75"/>
    <w:rsid w:val="00EE743B"/>
    <w:rsid w:val="00EF06D4"/>
    <w:rsid w:val="00EF1D6C"/>
    <w:rsid w:val="00EF2722"/>
    <w:rsid w:val="00EF2E84"/>
    <w:rsid w:val="00EF40AC"/>
    <w:rsid w:val="00EF6183"/>
    <w:rsid w:val="00EF6805"/>
    <w:rsid w:val="00F00508"/>
    <w:rsid w:val="00F01E52"/>
    <w:rsid w:val="00F03BCA"/>
    <w:rsid w:val="00F042DC"/>
    <w:rsid w:val="00F0432B"/>
    <w:rsid w:val="00F05382"/>
    <w:rsid w:val="00F05AEF"/>
    <w:rsid w:val="00F07099"/>
    <w:rsid w:val="00F105EA"/>
    <w:rsid w:val="00F11117"/>
    <w:rsid w:val="00F12541"/>
    <w:rsid w:val="00F159B0"/>
    <w:rsid w:val="00F15C17"/>
    <w:rsid w:val="00F178F1"/>
    <w:rsid w:val="00F22035"/>
    <w:rsid w:val="00F22D18"/>
    <w:rsid w:val="00F26614"/>
    <w:rsid w:val="00F34564"/>
    <w:rsid w:val="00F34DDA"/>
    <w:rsid w:val="00F36C87"/>
    <w:rsid w:val="00F42FAD"/>
    <w:rsid w:val="00F4438E"/>
    <w:rsid w:val="00F46050"/>
    <w:rsid w:val="00F46927"/>
    <w:rsid w:val="00F514FD"/>
    <w:rsid w:val="00F53136"/>
    <w:rsid w:val="00F533A9"/>
    <w:rsid w:val="00F54DE9"/>
    <w:rsid w:val="00F55854"/>
    <w:rsid w:val="00F56813"/>
    <w:rsid w:val="00F57CD4"/>
    <w:rsid w:val="00F62824"/>
    <w:rsid w:val="00F70110"/>
    <w:rsid w:val="00F72C93"/>
    <w:rsid w:val="00F74111"/>
    <w:rsid w:val="00F74D05"/>
    <w:rsid w:val="00F74E3B"/>
    <w:rsid w:val="00F76B52"/>
    <w:rsid w:val="00F80A88"/>
    <w:rsid w:val="00F81A4D"/>
    <w:rsid w:val="00F823F5"/>
    <w:rsid w:val="00F85256"/>
    <w:rsid w:val="00F9073C"/>
    <w:rsid w:val="00F9170D"/>
    <w:rsid w:val="00F94368"/>
    <w:rsid w:val="00F9494C"/>
    <w:rsid w:val="00FA15C8"/>
    <w:rsid w:val="00FA2394"/>
    <w:rsid w:val="00FA2D86"/>
    <w:rsid w:val="00FA348C"/>
    <w:rsid w:val="00FA54BF"/>
    <w:rsid w:val="00FA5E22"/>
    <w:rsid w:val="00FA6758"/>
    <w:rsid w:val="00FB0AD8"/>
    <w:rsid w:val="00FB164B"/>
    <w:rsid w:val="00FB381B"/>
    <w:rsid w:val="00FB4DBB"/>
    <w:rsid w:val="00FB6AF2"/>
    <w:rsid w:val="00FC10C1"/>
    <w:rsid w:val="00FC6B19"/>
    <w:rsid w:val="00FD2101"/>
    <w:rsid w:val="00FD62E0"/>
    <w:rsid w:val="00FD6C11"/>
    <w:rsid w:val="00FE0D00"/>
    <w:rsid w:val="00FE2C17"/>
    <w:rsid w:val="00FE3500"/>
    <w:rsid w:val="00FF072F"/>
    <w:rsid w:val="00FF0A94"/>
    <w:rsid w:val="00FF5F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B13"/>
    <w:pPr>
      <w:tabs>
        <w:tab w:val="left" w:pos="567"/>
      </w:tabs>
      <w:spacing w:after="80" w:line="320" w:lineRule="atLeast"/>
    </w:pPr>
    <w:rPr>
      <w:sz w:val="24"/>
      <w:szCs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qFormat/>
    <w:rsid w:val="00C3140C"/>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qFormat/>
    <w:rsid w:val="009D249D"/>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72498B"/>
    <w:pPr>
      <w:numPr>
        <w:numId w:val="1"/>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link w:val="CommentTextChar"/>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rsid w:val="00622669"/>
    <w:rPr>
      <w:rFonts w:eastAsiaTheme="majorEastAsia" w:cstheme="majorBidi"/>
      <w:b/>
      <w:bCs/>
      <w:caps/>
      <w:color w:val="2C8558"/>
      <w:sz w:val="32"/>
    </w:rPr>
  </w:style>
  <w:style w:type="character" w:customStyle="1" w:styleId="Heading4Char">
    <w:name w:val="Heading 4 Char"/>
    <w:basedOn w:val="DefaultParagraphFont"/>
    <w:link w:val="Heading4"/>
    <w:rsid w:val="00C3140C"/>
    <w:rPr>
      <w:rFonts w:eastAsiaTheme="majorEastAsia" w:cstheme="majorBidi"/>
      <w:b/>
      <w:bCs/>
      <w:iCs/>
      <w:color w:val="2C8558"/>
      <w:sz w:val="32"/>
      <w:szCs w:val="24"/>
    </w:rPr>
  </w:style>
  <w:style w:type="character" w:customStyle="1" w:styleId="Heading5Char">
    <w:name w:val="Heading 5 Char"/>
    <w:basedOn w:val="DefaultParagraphFont"/>
    <w:link w:val="Heading5"/>
    <w:rsid w:val="009D249D"/>
    <w:rPr>
      <w:rFonts w:eastAsiaTheme="majorEastAsia" w:cstheme="majorBidi"/>
      <w:b/>
      <w:i/>
      <w:color w:val="2C8558"/>
      <w:sz w:val="28"/>
      <w:szCs w:val="24"/>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72498B"/>
    <w:rPr>
      <w:sz w:val="24"/>
      <w:szCs w:val="20"/>
    </w:rPr>
  </w:style>
  <w:style w:type="character" w:customStyle="1" w:styleId="CGCParaNoChar">
    <w:name w:val="CGC Para No Char"/>
    <w:aliases w:val="CGC Numbered Para Char"/>
    <w:basedOn w:val="DefaultParagraphFont"/>
    <w:link w:val="CGCNumberedPara"/>
    <w:rsid w:val="0010505B"/>
    <w:rPr>
      <w:sz w:val="24"/>
      <w:szCs w:val="24"/>
    </w:rPr>
  </w:style>
  <w:style w:type="character" w:customStyle="1" w:styleId="CGCTableFootnoteChar">
    <w:name w:val="CGC Table Footnote Char"/>
    <w:basedOn w:val="DefaultParagraphFont"/>
    <w:link w:val="CGCTableFootnote"/>
    <w:rsid w:val="0010505B"/>
    <w:rPr>
      <w:sz w:val="20"/>
      <w:szCs w:val="24"/>
    </w:rPr>
  </w:style>
  <w:style w:type="character" w:customStyle="1" w:styleId="CGCTableHeadingChar">
    <w:name w:val="CGC Table Heading Char"/>
    <w:basedOn w:val="DefaultParagraphFont"/>
    <w:link w:val="CGCTableHeading"/>
    <w:rsid w:val="0010505B"/>
    <w:rPr>
      <w:b/>
      <w:sz w:val="24"/>
      <w:szCs w:val="20"/>
    </w:rPr>
  </w:style>
  <w:style w:type="character" w:customStyle="1" w:styleId="CGCTableStubChar">
    <w:name w:val="CGC Table Stub Char"/>
    <w:basedOn w:val="DefaultParagraphFont"/>
    <w:link w:val="CGCTableStub"/>
    <w:rsid w:val="0010505B"/>
    <w:rPr>
      <w:sz w:val="20"/>
      <w:szCs w:val="20"/>
    </w:rPr>
  </w:style>
  <w:style w:type="character" w:customStyle="1" w:styleId="CGCBulletlistChar">
    <w:name w:val="CGC Bullet list Char"/>
    <w:aliases w:val="CGC List 1 Char,CGC Bullet list Char1"/>
    <w:basedOn w:val="DefaultParagraphFont"/>
    <w:locked/>
    <w:rsid w:val="00FC6B19"/>
    <w:rPr>
      <w:sz w:val="24"/>
      <w:szCs w:val="20"/>
    </w:rPr>
  </w:style>
  <w:style w:type="paragraph" w:customStyle="1" w:styleId="Copyrightbodytext">
    <w:name w:val="Copyright bodytext"/>
    <w:basedOn w:val="BodyText"/>
    <w:link w:val="CopyrightbodytextChar"/>
    <w:rsid w:val="002C467D"/>
    <w:pPr>
      <w:tabs>
        <w:tab w:val="clear" w:pos="567"/>
      </w:tabs>
      <w:spacing w:before="60" w:after="0" w:line="300" w:lineRule="atLeast"/>
      <w:jc w:val="both"/>
    </w:pPr>
    <w:rPr>
      <w:rFonts w:ascii="Times New Roman" w:eastAsia="Times New Roman" w:hAnsi="Times New Roman" w:cs="Times New Roman"/>
      <w:lang w:eastAsia="en-AU"/>
    </w:rPr>
  </w:style>
  <w:style w:type="character" w:customStyle="1" w:styleId="CopyrightbodytextChar">
    <w:name w:val="Copyright bodytext Char"/>
    <w:basedOn w:val="BodyTextChar"/>
    <w:link w:val="Copyrightbodytext"/>
    <w:rsid w:val="002C467D"/>
    <w:rPr>
      <w:rFonts w:ascii="Times New Roman" w:eastAsia="Times New Roman" w:hAnsi="Times New Roman" w:cs="Times New Roman"/>
      <w:sz w:val="24"/>
      <w:szCs w:val="24"/>
      <w:lang w:eastAsia="en-AU"/>
    </w:rPr>
  </w:style>
  <w:style w:type="paragraph" w:styleId="BodyText">
    <w:name w:val="Body Text"/>
    <w:basedOn w:val="Normal"/>
    <w:link w:val="BodyTextChar"/>
    <w:rsid w:val="002C467D"/>
    <w:pPr>
      <w:spacing w:after="120"/>
    </w:pPr>
  </w:style>
  <w:style w:type="character" w:customStyle="1" w:styleId="BodyTextChar">
    <w:name w:val="Body Text Char"/>
    <w:basedOn w:val="DefaultParagraphFont"/>
    <w:link w:val="BodyText"/>
    <w:rsid w:val="002C467D"/>
    <w:rPr>
      <w:sz w:val="24"/>
      <w:szCs w:val="24"/>
    </w:rPr>
  </w:style>
  <w:style w:type="character" w:customStyle="1" w:styleId="CommentTextChar">
    <w:name w:val="Comment Text Char"/>
    <w:basedOn w:val="DefaultParagraphFont"/>
    <w:link w:val="CommentText"/>
    <w:rsid w:val="000A1051"/>
    <w:rPr>
      <w:sz w:val="20"/>
      <w:szCs w:val="20"/>
    </w:rPr>
  </w:style>
  <w:style w:type="paragraph" w:customStyle="1" w:styleId="Default">
    <w:name w:val="Default"/>
    <w:rsid w:val="00CD371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semiHidden/>
    <w:unhideWhenUsed/>
    <w:rsid w:val="001D72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1792">
      <w:bodyDiv w:val="1"/>
      <w:marLeft w:val="0"/>
      <w:marRight w:val="0"/>
      <w:marTop w:val="0"/>
      <w:marBottom w:val="0"/>
      <w:divBdr>
        <w:top w:val="none" w:sz="0" w:space="0" w:color="auto"/>
        <w:left w:val="none" w:sz="0" w:space="0" w:color="auto"/>
        <w:bottom w:val="none" w:sz="0" w:space="0" w:color="auto"/>
        <w:right w:val="none" w:sz="0" w:space="0" w:color="auto"/>
      </w:divBdr>
    </w:div>
    <w:div w:id="76023356">
      <w:bodyDiv w:val="1"/>
      <w:marLeft w:val="0"/>
      <w:marRight w:val="0"/>
      <w:marTop w:val="0"/>
      <w:marBottom w:val="0"/>
      <w:divBdr>
        <w:top w:val="none" w:sz="0" w:space="0" w:color="auto"/>
        <w:left w:val="none" w:sz="0" w:space="0" w:color="auto"/>
        <w:bottom w:val="none" w:sz="0" w:space="0" w:color="auto"/>
        <w:right w:val="none" w:sz="0" w:space="0" w:color="auto"/>
      </w:divBdr>
    </w:div>
    <w:div w:id="146482279">
      <w:bodyDiv w:val="1"/>
      <w:marLeft w:val="0"/>
      <w:marRight w:val="0"/>
      <w:marTop w:val="0"/>
      <w:marBottom w:val="0"/>
      <w:divBdr>
        <w:top w:val="none" w:sz="0" w:space="0" w:color="auto"/>
        <w:left w:val="none" w:sz="0" w:space="0" w:color="auto"/>
        <w:bottom w:val="none" w:sz="0" w:space="0" w:color="auto"/>
        <w:right w:val="none" w:sz="0" w:space="0" w:color="auto"/>
      </w:divBdr>
    </w:div>
    <w:div w:id="376978914">
      <w:bodyDiv w:val="1"/>
      <w:marLeft w:val="0"/>
      <w:marRight w:val="0"/>
      <w:marTop w:val="0"/>
      <w:marBottom w:val="0"/>
      <w:divBdr>
        <w:top w:val="none" w:sz="0" w:space="0" w:color="auto"/>
        <w:left w:val="none" w:sz="0" w:space="0" w:color="auto"/>
        <w:bottom w:val="none" w:sz="0" w:space="0" w:color="auto"/>
        <w:right w:val="none" w:sz="0" w:space="0" w:color="auto"/>
      </w:divBdr>
    </w:div>
    <w:div w:id="487484059">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94173465">
      <w:bodyDiv w:val="1"/>
      <w:marLeft w:val="0"/>
      <w:marRight w:val="0"/>
      <w:marTop w:val="0"/>
      <w:marBottom w:val="0"/>
      <w:divBdr>
        <w:top w:val="none" w:sz="0" w:space="0" w:color="auto"/>
        <w:left w:val="none" w:sz="0" w:space="0" w:color="auto"/>
        <w:bottom w:val="none" w:sz="0" w:space="0" w:color="auto"/>
        <w:right w:val="none" w:sz="0" w:space="0" w:color="auto"/>
      </w:divBdr>
    </w:div>
    <w:div w:id="607322517">
      <w:bodyDiv w:val="1"/>
      <w:marLeft w:val="0"/>
      <w:marRight w:val="0"/>
      <w:marTop w:val="0"/>
      <w:marBottom w:val="0"/>
      <w:divBdr>
        <w:top w:val="none" w:sz="0" w:space="0" w:color="auto"/>
        <w:left w:val="none" w:sz="0" w:space="0" w:color="auto"/>
        <w:bottom w:val="none" w:sz="0" w:space="0" w:color="auto"/>
        <w:right w:val="none" w:sz="0" w:space="0" w:color="auto"/>
      </w:divBdr>
    </w:div>
    <w:div w:id="667172759">
      <w:bodyDiv w:val="1"/>
      <w:marLeft w:val="0"/>
      <w:marRight w:val="0"/>
      <w:marTop w:val="0"/>
      <w:marBottom w:val="0"/>
      <w:divBdr>
        <w:top w:val="none" w:sz="0" w:space="0" w:color="auto"/>
        <w:left w:val="none" w:sz="0" w:space="0" w:color="auto"/>
        <w:bottom w:val="none" w:sz="0" w:space="0" w:color="auto"/>
        <w:right w:val="none" w:sz="0" w:space="0" w:color="auto"/>
      </w:divBdr>
    </w:div>
    <w:div w:id="703166989">
      <w:bodyDiv w:val="1"/>
      <w:marLeft w:val="0"/>
      <w:marRight w:val="0"/>
      <w:marTop w:val="0"/>
      <w:marBottom w:val="0"/>
      <w:divBdr>
        <w:top w:val="none" w:sz="0" w:space="0" w:color="auto"/>
        <w:left w:val="none" w:sz="0" w:space="0" w:color="auto"/>
        <w:bottom w:val="none" w:sz="0" w:space="0" w:color="auto"/>
        <w:right w:val="none" w:sz="0" w:space="0" w:color="auto"/>
      </w:divBdr>
    </w:div>
    <w:div w:id="80766855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320965974">
      <w:bodyDiv w:val="1"/>
      <w:marLeft w:val="0"/>
      <w:marRight w:val="0"/>
      <w:marTop w:val="0"/>
      <w:marBottom w:val="0"/>
      <w:divBdr>
        <w:top w:val="none" w:sz="0" w:space="0" w:color="auto"/>
        <w:left w:val="none" w:sz="0" w:space="0" w:color="auto"/>
        <w:bottom w:val="none" w:sz="0" w:space="0" w:color="auto"/>
        <w:right w:val="none" w:sz="0" w:space="0" w:color="auto"/>
      </w:divBdr>
    </w:div>
    <w:div w:id="1326124448">
      <w:bodyDiv w:val="1"/>
      <w:marLeft w:val="0"/>
      <w:marRight w:val="0"/>
      <w:marTop w:val="0"/>
      <w:marBottom w:val="0"/>
      <w:divBdr>
        <w:top w:val="none" w:sz="0" w:space="0" w:color="auto"/>
        <w:left w:val="none" w:sz="0" w:space="0" w:color="auto"/>
        <w:bottom w:val="none" w:sz="0" w:space="0" w:color="auto"/>
        <w:right w:val="none" w:sz="0" w:space="0" w:color="auto"/>
      </w:divBdr>
    </w:div>
    <w:div w:id="1391146727">
      <w:bodyDiv w:val="1"/>
      <w:marLeft w:val="0"/>
      <w:marRight w:val="0"/>
      <w:marTop w:val="0"/>
      <w:marBottom w:val="0"/>
      <w:divBdr>
        <w:top w:val="none" w:sz="0" w:space="0" w:color="auto"/>
        <w:left w:val="none" w:sz="0" w:space="0" w:color="auto"/>
        <w:bottom w:val="none" w:sz="0" w:space="0" w:color="auto"/>
        <w:right w:val="none" w:sz="0" w:space="0" w:color="auto"/>
      </w:divBdr>
    </w:div>
    <w:div w:id="143412794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935749282">
      <w:bodyDiv w:val="1"/>
      <w:marLeft w:val="0"/>
      <w:marRight w:val="0"/>
      <w:marTop w:val="0"/>
      <w:marBottom w:val="0"/>
      <w:divBdr>
        <w:top w:val="none" w:sz="0" w:space="0" w:color="auto"/>
        <w:left w:val="none" w:sz="0" w:space="0" w:color="auto"/>
        <w:bottom w:val="none" w:sz="0" w:space="0" w:color="auto"/>
        <w:right w:val="none" w:sz="0" w:space="0" w:color="auto"/>
      </w:divBdr>
    </w:div>
    <w:div w:id="193608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cgc.gov.au"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creativecommons.org/licenses/by/3.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pc.gov.au/inquiries/completed/ndis-costs/report/ndis-costs.pdf" TargetMode="External"/><Relationship Id="rId1" Type="http://schemas.openxmlformats.org/officeDocument/2006/relationships/hyperlink" Target="http://www.aph.gov.au/Parliamentary_Business/Committees/Senate/Community_Affairs/Out_of_home_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4096</Words>
  <Characters>23353</Characters>
  <Application>Microsoft Office Word</Application>
  <DocSecurity>0</DocSecurity>
  <Lines>194</Lines>
  <Paragraphs>54</Paragraphs>
  <ScaleCrop>false</ScaleCrop>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2018-04-18T04:23:00Z</dcterms:created>
  <dcterms:modified xsi:type="dcterms:W3CDTF">2018-04-18T04:23:00Z</dcterms:modified>
</cp:coreProperties>
</file>