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4C" w:rsidRPr="00970E6D" w:rsidRDefault="005D4F4C" w:rsidP="005D4F4C">
      <w:pPr>
        <w:tabs>
          <w:tab w:val="clear" w:pos="567"/>
        </w:tabs>
        <w:jc w:val="center"/>
        <w:rPr>
          <w:b/>
          <w:bCs/>
        </w:rPr>
      </w:pPr>
      <w:bookmarkStart w:id="0" w:name="_Toc106707725"/>
      <w:bookmarkStart w:id="1" w:name="_Toc155675935"/>
      <w:bookmarkStart w:id="2" w:name="_Toc174415770"/>
      <w:bookmarkStart w:id="3" w:name="_Toc174415844"/>
      <w:bookmarkStart w:id="4" w:name="_Toc174415935"/>
      <w:bookmarkStart w:id="5" w:name="_Toc174416620"/>
      <w:bookmarkStart w:id="6" w:name="_Toc174416662"/>
      <w:bookmarkStart w:id="7" w:name="_Toc174416675"/>
      <w:bookmarkStart w:id="8" w:name="_GoBack"/>
      <w:bookmarkEnd w:id="8"/>
      <w:r w:rsidRPr="00970E6D">
        <w:rPr>
          <w:noProof/>
          <w:lang w:eastAsia="en-AU"/>
        </w:rPr>
        <w:drawing>
          <wp:inline distT="0" distB="0" distL="0" distR="0" wp14:anchorId="2D2CAEF0" wp14:editId="263FFB57">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7"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5D4F4C" w:rsidRPr="00970E6D" w:rsidRDefault="005D4F4C" w:rsidP="005D4F4C">
      <w:pPr>
        <w:tabs>
          <w:tab w:val="clear" w:pos="567"/>
        </w:tabs>
        <w:jc w:val="center"/>
        <w:rPr>
          <w:b/>
          <w:sz w:val="40"/>
          <w:szCs w:val="40"/>
        </w:rPr>
      </w:pPr>
    </w:p>
    <w:p w:rsidR="005D4F4C" w:rsidRPr="00970E6D" w:rsidRDefault="005D4F4C" w:rsidP="005D4F4C">
      <w:pPr>
        <w:tabs>
          <w:tab w:val="clear" w:pos="567"/>
        </w:tabs>
        <w:jc w:val="center"/>
        <w:rPr>
          <w:b/>
          <w:sz w:val="40"/>
          <w:szCs w:val="40"/>
        </w:rPr>
      </w:pPr>
    </w:p>
    <w:p w:rsidR="005D4F4C" w:rsidRPr="00970E6D" w:rsidRDefault="005D4F4C" w:rsidP="005D4F4C">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5D4F4C" w:rsidRPr="00970E6D" w:rsidRDefault="005D4F4C" w:rsidP="005D4F4C">
      <w:pPr>
        <w:tabs>
          <w:tab w:val="clear" w:pos="567"/>
        </w:tabs>
        <w:jc w:val="center"/>
        <w:rPr>
          <w:b/>
          <w:sz w:val="40"/>
          <w:szCs w:val="40"/>
        </w:rPr>
      </w:pPr>
    </w:p>
    <w:p w:rsidR="005D4F4C" w:rsidRPr="00970E6D" w:rsidRDefault="005D4F4C" w:rsidP="005D4F4C">
      <w:pPr>
        <w:tabs>
          <w:tab w:val="clear" w:pos="567"/>
        </w:tabs>
        <w:jc w:val="center"/>
        <w:rPr>
          <w:b/>
          <w:sz w:val="40"/>
          <w:szCs w:val="40"/>
        </w:rPr>
      </w:pPr>
    </w:p>
    <w:p w:rsidR="005D4F4C" w:rsidRPr="00970E6D" w:rsidRDefault="005D4F4C" w:rsidP="005D4F4C">
      <w:pPr>
        <w:tabs>
          <w:tab w:val="clear" w:pos="567"/>
        </w:tabs>
        <w:jc w:val="center"/>
        <w:rPr>
          <w:b/>
          <w:sz w:val="40"/>
          <w:szCs w:val="40"/>
        </w:rPr>
      </w:pPr>
    </w:p>
    <w:p w:rsidR="005D4F4C" w:rsidRPr="00970E6D" w:rsidRDefault="005D4F4C" w:rsidP="005D4F4C">
      <w:pPr>
        <w:tabs>
          <w:tab w:val="clear" w:pos="567"/>
        </w:tabs>
        <w:jc w:val="center"/>
        <w:rPr>
          <w:b/>
          <w:sz w:val="40"/>
          <w:szCs w:val="40"/>
        </w:rPr>
      </w:pPr>
    </w:p>
    <w:p w:rsidR="005D4F4C" w:rsidRPr="00970E6D" w:rsidRDefault="005D4F4C" w:rsidP="005D4F4C">
      <w:pPr>
        <w:tabs>
          <w:tab w:val="clear" w:pos="567"/>
        </w:tabs>
        <w:jc w:val="center"/>
        <w:rPr>
          <w:bCs/>
          <w:sz w:val="40"/>
          <w:szCs w:val="40"/>
        </w:rPr>
      </w:pPr>
      <w:r>
        <w:rPr>
          <w:b/>
          <w:sz w:val="40"/>
          <w:szCs w:val="40"/>
        </w:rPr>
        <w:t>LAND REVENUE</w:t>
      </w:r>
    </w:p>
    <w:p w:rsidR="005D4F4C" w:rsidRPr="00970E6D" w:rsidRDefault="005D4F4C" w:rsidP="005D4F4C">
      <w:pPr>
        <w:tabs>
          <w:tab w:val="clear" w:pos="567"/>
        </w:tabs>
        <w:jc w:val="center"/>
        <w:rPr>
          <w:b/>
          <w:sz w:val="40"/>
          <w:szCs w:val="40"/>
        </w:rPr>
      </w:pPr>
    </w:p>
    <w:p w:rsidR="005D4F4C" w:rsidRPr="00970E6D" w:rsidRDefault="005D4F4C" w:rsidP="005D4F4C">
      <w:pPr>
        <w:tabs>
          <w:tab w:val="clear" w:pos="567"/>
        </w:tabs>
        <w:jc w:val="center"/>
        <w:rPr>
          <w:b/>
          <w:sz w:val="40"/>
          <w:szCs w:val="40"/>
        </w:rPr>
      </w:pPr>
    </w:p>
    <w:p w:rsidR="005D4F4C" w:rsidRPr="00970E6D" w:rsidRDefault="005D4F4C" w:rsidP="005D4F4C">
      <w:pPr>
        <w:tabs>
          <w:tab w:val="clear" w:pos="567"/>
        </w:tabs>
        <w:jc w:val="center"/>
        <w:rPr>
          <w:b/>
          <w:sz w:val="40"/>
          <w:szCs w:val="40"/>
        </w:rPr>
      </w:pPr>
    </w:p>
    <w:p w:rsidR="005D4F4C" w:rsidRPr="00970E6D" w:rsidRDefault="005D4F4C" w:rsidP="005D4F4C">
      <w:pPr>
        <w:tabs>
          <w:tab w:val="clear" w:pos="567"/>
        </w:tabs>
        <w:jc w:val="center"/>
        <w:rPr>
          <w:b/>
          <w:sz w:val="40"/>
          <w:szCs w:val="40"/>
        </w:rPr>
      </w:pPr>
    </w:p>
    <w:p w:rsidR="005D4F4C" w:rsidRPr="00970E6D" w:rsidRDefault="00CA41AB" w:rsidP="005D4F4C">
      <w:pPr>
        <w:tabs>
          <w:tab w:val="clear" w:pos="567"/>
        </w:tabs>
        <w:jc w:val="center"/>
        <w:rPr>
          <w:b/>
          <w:sz w:val="40"/>
          <w:szCs w:val="40"/>
        </w:rPr>
      </w:pPr>
      <w:r>
        <w:rPr>
          <w:b/>
          <w:sz w:val="40"/>
          <w:szCs w:val="40"/>
        </w:rPr>
        <w:t xml:space="preserve">STAFF </w:t>
      </w:r>
      <w:r w:rsidR="005D4F4C">
        <w:rPr>
          <w:b/>
          <w:sz w:val="40"/>
          <w:szCs w:val="40"/>
        </w:rPr>
        <w:t>DRAFT ASSESSMENT PAPER</w:t>
      </w:r>
      <w:r w:rsidR="005D4F4C">
        <w:rPr>
          <w:b/>
          <w:sz w:val="40"/>
          <w:szCs w:val="40"/>
        </w:rPr>
        <w:br/>
        <w:t>CGC 20</w:t>
      </w:r>
      <w:r w:rsidR="005D4F4C" w:rsidRPr="00970E6D">
        <w:rPr>
          <w:b/>
          <w:sz w:val="40"/>
          <w:szCs w:val="40"/>
        </w:rPr>
        <w:t>1</w:t>
      </w:r>
      <w:r w:rsidR="005D4F4C">
        <w:rPr>
          <w:b/>
          <w:sz w:val="40"/>
          <w:szCs w:val="40"/>
        </w:rPr>
        <w:t>8</w:t>
      </w:r>
      <w:r w:rsidR="005D4F4C" w:rsidRPr="00970E6D">
        <w:rPr>
          <w:b/>
          <w:sz w:val="40"/>
          <w:szCs w:val="40"/>
        </w:rPr>
        <w:t>-</w:t>
      </w:r>
      <w:r w:rsidR="005D4F4C">
        <w:rPr>
          <w:b/>
          <w:sz w:val="40"/>
          <w:szCs w:val="40"/>
        </w:rPr>
        <w:t>01/0</w:t>
      </w:r>
      <w:r w:rsidR="007E56C1">
        <w:rPr>
          <w:b/>
          <w:sz w:val="40"/>
          <w:szCs w:val="40"/>
        </w:rPr>
        <w:t>3</w:t>
      </w:r>
      <w:r w:rsidR="005D4F4C">
        <w:rPr>
          <w:b/>
          <w:sz w:val="40"/>
          <w:szCs w:val="40"/>
        </w:rPr>
        <w:t>-S</w:t>
      </w:r>
    </w:p>
    <w:p w:rsidR="005D4F4C" w:rsidRPr="00970E6D" w:rsidRDefault="005D4F4C" w:rsidP="005D4F4C">
      <w:pPr>
        <w:tabs>
          <w:tab w:val="clear" w:pos="567"/>
        </w:tabs>
        <w:jc w:val="center"/>
        <w:rPr>
          <w:b/>
          <w:sz w:val="40"/>
          <w:szCs w:val="40"/>
        </w:rPr>
      </w:pPr>
    </w:p>
    <w:p w:rsidR="005D4F4C" w:rsidRPr="00970E6D" w:rsidRDefault="005D4F4C" w:rsidP="005D4F4C">
      <w:pPr>
        <w:tabs>
          <w:tab w:val="clear" w:pos="567"/>
        </w:tabs>
        <w:jc w:val="center"/>
        <w:rPr>
          <w:b/>
          <w:sz w:val="40"/>
          <w:szCs w:val="40"/>
        </w:rPr>
      </w:pPr>
    </w:p>
    <w:p w:rsidR="005D4F4C" w:rsidRPr="00970E6D" w:rsidRDefault="005D4F4C" w:rsidP="005D4F4C">
      <w:pPr>
        <w:tabs>
          <w:tab w:val="clear" w:pos="567"/>
        </w:tabs>
        <w:jc w:val="center"/>
        <w:rPr>
          <w:b/>
          <w:sz w:val="40"/>
          <w:szCs w:val="40"/>
        </w:rPr>
      </w:pPr>
    </w:p>
    <w:p w:rsidR="005D4F4C" w:rsidRPr="00970E6D" w:rsidRDefault="005D4F4C" w:rsidP="005D4F4C">
      <w:pPr>
        <w:tabs>
          <w:tab w:val="clear" w:pos="567"/>
        </w:tabs>
        <w:jc w:val="center"/>
        <w:rPr>
          <w:sz w:val="40"/>
          <w:szCs w:val="40"/>
        </w:rPr>
      </w:pPr>
    </w:p>
    <w:p w:rsidR="005D4F4C" w:rsidRPr="00970E6D" w:rsidRDefault="005D4F4C" w:rsidP="005D4F4C">
      <w:pPr>
        <w:tabs>
          <w:tab w:val="clear" w:pos="567"/>
        </w:tabs>
        <w:jc w:val="right"/>
        <w:rPr>
          <w:b/>
          <w:sz w:val="28"/>
          <w:szCs w:val="28"/>
        </w:rPr>
      </w:pPr>
      <w:r>
        <w:rPr>
          <w:b/>
          <w:sz w:val="28"/>
          <w:szCs w:val="28"/>
        </w:rPr>
        <w:t>APRIL 2018</w:t>
      </w:r>
    </w:p>
    <w:p w:rsidR="005D4F4C" w:rsidRPr="00970E6D" w:rsidRDefault="005D4F4C" w:rsidP="005D4F4C">
      <w:pPr>
        <w:tabs>
          <w:tab w:val="clear" w:pos="567"/>
        </w:tabs>
      </w:pPr>
    </w:p>
    <w:p w:rsidR="005D4F4C" w:rsidRPr="00970E6D" w:rsidRDefault="005D4F4C" w:rsidP="005D4F4C">
      <w:pPr>
        <w:tabs>
          <w:tab w:val="clear" w:pos="567"/>
        </w:tabs>
        <w:sectPr w:rsidR="005D4F4C" w:rsidRPr="00970E6D" w:rsidSect="0032676A">
          <w:footerReference w:type="default" r:id="rId8"/>
          <w:footerReference w:type="first" r:id="rId9"/>
          <w:pgSz w:w="11899" w:h="16838" w:code="9"/>
          <w:pgMar w:top="1701" w:right="1474" w:bottom="1701" w:left="1474" w:header="709" w:footer="709" w:gutter="0"/>
          <w:cols w:space="708"/>
          <w:titlePg/>
          <w:docGrid w:linePitch="299"/>
        </w:sectPr>
      </w:pPr>
    </w:p>
    <w:p w:rsidR="005D4F4C" w:rsidRDefault="005D4F4C" w:rsidP="005D4F4C">
      <w:pPr>
        <w:tabs>
          <w:tab w:val="clear" w:pos="567"/>
        </w:tabs>
      </w:pPr>
    </w:p>
    <w:p w:rsidR="00293A1B" w:rsidRDefault="00293A1B" w:rsidP="005D4F4C">
      <w:pPr>
        <w:tabs>
          <w:tab w:val="clear" w:pos="567"/>
        </w:tabs>
      </w:pPr>
    </w:p>
    <w:p w:rsidR="00293A1B" w:rsidRDefault="00293A1B" w:rsidP="005D4F4C">
      <w:pPr>
        <w:tabs>
          <w:tab w:val="clear" w:pos="567"/>
        </w:tabs>
      </w:pPr>
    </w:p>
    <w:p w:rsidR="00293A1B" w:rsidRDefault="00293A1B" w:rsidP="005D4F4C">
      <w:pPr>
        <w:tabs>
          <w:tab w:val="clear" w:pos="567"/>
        </w:tabs>
      </w:pPr>
    </w:p>
    <w:p w:rsidR="00293A1B" w:rsidRDefault="00293A1B" w:rsidP="005D4F4C">
      <w:pPr>
        <w:tabs>
          <w:tab w:val="clear" w:pos="567"/>
        </w:tabs>
      </w:pPr>
    </w:p>
    <w:p w:rsidR="00293A1B" w:rsidRDefault="00293A1B" w:rsidP="005D4F4C">
      <w:pPr>
        <w:tabs>
          <w:tab w:val="clear" w:pos="567"/>
        </w:tabs>
      </w:pPr>
    </w:p>
    <w:p w:rsidR="00293A1B" w:rsidRDefault="00293A1B" w:rsidP="005D4F4C">
      <w:pPr>
        <w:tabs>
          <w:tab w:val="clear" w:pos="567"/>
        </w:tabs>
      </w:pPr>
    </w:p>
    <w:p w:rsidR="00293A1B" w:rsidRDefault="00293A1B" w:rsidP="005D4F4C">
      <w:pPr>
        <w:tabs>
          <w:tab w:val="clear" w:pos="567"/>
        </w:tabs>
      </w:pPr>
    </w:p>
    <w:p w:rsidR="00293A1B" w:rsidRDefault="00293A1B" w:rsidP="005D4F4C">
      <w:pPr>
        <w:tabs>
          <w:tab w:val="clear" w:pos="567"/>
        </w:tabs>
      </w:pPr>
    </w:p>
    <w:p w:rsidR="00293A1B" w:rsidRDefault="00293A1B" w:rsidP="005D4F4C">
      <w:pPr>
        <w:tabs>
          <w:tab w:val="clear" w:pos="567"/>
        </w:tabs>
      </w:pPr>
    </w:p>
    <w:p w:rsidR="00293A1B" w:rsidRDefault="00293A1B" w:rsidP="005D4F4C">
      <w:pPr>
        <w:tabs>
          <w:tab w:val="clear" w:pos="567"/>
        </w:tabs>
      </w:pPr>
    </w:p>
    <w:p w:rsidR="00293A1B" w:rsidRDefault="00293A1B" w:rsidP="005D4F4C">
      <w:pPr>
        <w:tabs>
          <w:tab w:val="clear" w:pos="567"/>
        </w:tabs>
      </w:pPr>
    </w:p>
    <w:p w:rsidR="00293A1B" w:rsidRDefault="00293A1B" w:rsidP="005D4F4C">
      <w:pPr>
        <w:tabs>
          <w:tab w:val="clear" w:pos="567"/>
        </w:tabs>
      </w:pPr>
    </w:p>
    <w:p w:rsidR="00293A1B" w:rsidRDefault="00293A1B" w:rsidP="005D4F4C">
      <w:pPr>
        <w:tabs>
          <w:tab w:val="clear" w:pos="567"/>
        </w:tabs>
      </w:pPr>
    </w:p>
    <w:p w:rsidR="00E32FEE" w:rsidRDefault="00E32FEE" w:rsidP="005D4F4C">
      <w:pPr>
        <w:tabs>
          <w:tab w:val="clear" w:pos="567"/>
        </w:tabs>
      </w:pPr>
    </w:p>
    <w:p w:rsidR="00293A1B" w:rsidRDefault="00293A1B" w:rsidP="005D4F4C">
      <w:pPr>
        <w:tabs>
          <w:tab w:val="clear" w:pos="567"/>
        </w:tabs>
      </w:pPr>
    </w:p>
    <w:p w:rsidR="00293A1B" w:rsidRPr="00970E6D" w:rsidRDefault="00293A1B" w:rsidP="005D4F4C">
      <w:pPr>
        <w:tabs>
          <w:tab w:val="clear" w:pos="567"/>
        </w:tabs>
      </w:pPr>
    </w:p>
    <w:tbl>
      <w:tblPr>
        <w:tblStyle w:val="TableGrid"/>
        <w:tblW w:w="5000" w:type="pct"/>
        <w:tblLook w:val="01E0" w:firstRow="1" w:lastRow="1" w:firstColumn="1" w:lastColumn="1" w:noHBand="0" w:noVBand="0"/>
      </w:tblPr>
      <w:tblGrid>
        <w:gridCol w:w="2943"/>
        <w:gridCol w:w="6224"/>
      </w:tblGrid>
      <w:tr w:rsidR="005D4F4C" w:rsidRPr="00970E6D" w:rsidTr="0032676A">
        <w:tc>
          <w:tcPr>
            <w:tcW w:w="1605" w:type="pct"/>
            <w:tcBorders>
              <w:top w:val="single" w:sz="4" w:space="0" w:color="auto"/>
              <w:left w:val="single" w:sz="4" w:space="0" w:color="auto"/>
              <w:bottom w:val="single" w:sz="4" w:space="0" w:color="auto"/>
              <w:right w:val="single" w:sz="4" w:space="0" w:color="auto"/>
            </w:tcBorders>
          </w:tcPr>
          <w:p w:rsidR="005D4F4C" w:rsidRPr="00970E6D" w:rsidRDefault="005D4F4C" w:rsidP="0032676A">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rsidR="005D4F4C" w:rsidRPr="00970E6D" w:rsidRDefault="002568D0" w:rsidP="0032676A">
            <w:pPr>
              <w:tabs>
                <w:tab w:val="clear" w:pos="567"/>
              </w:tabs>
            </w:pPr>
            <w:r>
              <w:t>20</w:t>
            </w:r>
            <w:r w:rsidR="005D4F4C" w:rsidRPr="00970E6D">
              <w:t xml:space="preserve"> </w:t>
            </w:r>
            <w:r w:rsidR="005D4F4C">
              <w:t>April</w:t>
            </w:r>
            <w:r w:rsidR="005D4F4C" w:rsidRPr="00970E6D">
              <w:t xml:space="preserve"> 20</w:t>
            </w:r>
            <w:r w:rsidR="005D4F4C">
              <w:t>18</w:t>
            </w:r>
          </w:p>
        </w:tc>
      </w:tr>
      <w:tr w:rsidR="005D4F4C" w:rsidRPr="00970E6D" w:rsidTr="0032676A">
        <w:tc>
          <w:tcPr>
            <w:tcW w:w="1605" w:type="pct"/>
            <w:tcBorders>
              <w:top w:val="single" w:sz="4" w:space="0" w:color="auto"/>
              <w:left w:val="single" w:sz="4" w:space="0" w:color="auto"/>
              <w:bottom w:val="single" w:sz="4" w:space="0" w:color="auto"/>
              <w:right w:val="single" w:sz="4" w:space="0" w:color="auto"/>
            </w:tcBorders>
          </w:tcPr>
          <w:p w:rsidR="005D4F4C" w:rsidRPr="00970E6D" w:rsidRDefault="005D4F4C" w:rsidP="0032676A">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5D4F4C" w:rsidRPr="00970E6D" w:rsidRDefault="005D4F4C" w:rsidP="0032676A">
            <w:pPr>
              <w:tabs>
                <w:tab w:val="clear" w:pos="567"/>
              </w:tabs>
            </w:pPr>
            <w:r>
              <w:t xml:space="preserve">Dermot Doherty, 6229 8816, </w:t>
            </w:r>
            <w:hyperlink r:id="rId10" w:history="1">
              <w:r w:rsidRPr="00976AA6">
                <w:rPr>
                  <w:rStyle w:val="Hyperlink"/>
                </w:rPr>
                <w:t>Dermot.Doherty@cgc.gov.au</w:t>
              </w:r>
            </w:hyperlink>
            <w:r>
              <w:t xml:space="preserve"> </w:t>
            </w:r>
          </w:p>
        </w:tc>
      </w:tr>
      <w:tr w:rsidR="005D4F4C" w:rsidRPr="00970E6D" w:rsidTr="0032676A">
        <w:tc>
          <w:tcPr>
            <w:tcW w:w="1605" w:type="pct"/>
            <w:tcBorders>
              <w:top w:val="single" w:sz="4" w:space="0" w:color="auto"/>
              <w:left w:val="single" w:sz="4" w:space="0" w:color="auto"/>
              <w:bottom w:val="single" w:sz="4" w:space="0" w:color="auto"/>
              <w:right w:val="single" w:sz="4" w:space="0" w:color="auto"/>
            </w:tcBorders>
          </w:tcPr>
          <w:p w:rsidR="005D4F4C" w:rsidRPr="00970E6D" w:rsidRDefault="005D4F4C" w:rsidP="0032676A">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E32FEE" w:rsidRDefault="002568D0" w:rsidP="0032676A">
            <w:pPr>
              <w:tabs>
                <w:tab w:val="clear" w:pos="567"/>
              </w:tabs>
            </w:pPr>
            <w:r>
              <w:t>31 August 2018</w:t>
            </w:r>
            <w:r w:rsidR="005D4F4C" w:rsidRPr="00970E6D">
              <w:t>.</w:t>
            </w:r>
          </w:p>
          <w:p w:rsidR="005D4F4C" w:rsidRPr="00970E6D" w:rsidRDefault="005D4F4C" w:rsidP="0032676A">
            <w:pPr>
              <w:tabs>
                <w:tab w:val="clear" w:pos="567"/>
              </w:tabs>
            </w:pPr>
            <w:r w:rsidRPr="00970E6D">
              <w:t xml:space="preserve">Submissions should be emailed in Word format to </w:t>
            </w:r>
            <w:hyperlink r:id="rId11" w:history="1">
              <w:r w:rsidRPr="00970E6D">
                <w:rPr>
                  <w:rStyle w:val="Hyperlink"/>
                </w:rPr>
                <w:t>secretary@cgc.gov.au</w:t>
              </w:r>
            </w:hyperlink>
            <w:r w:rsidRPr="00970E6D">
              <w:t xml:space="preserve"> .</w:t>
            </w:r>
          </w:p>
          <w:p w:rsidR="005D4F4C" w:rsidRPr="00970E6D" w:rsidRDefault="005D4F4C" w:rsidP="0032676A">
            <w:pPr>
              <w:tabs>
                <w:tab w:val="clear" w:pos="567"/>
              </w:tabs>
            </w:pPr>
            <w:r w:rsidRPr="00970E6D">
              <w:t xml:space="preserve">Submissions of more than </w:t>
            </w:r>
            <w:r>
              <w:t>10</w:t>
            </w:r>
            <w:r w:rsidRPr="00970E6D">
              <w:t xml:space="preserve"> pages in length should include a summary section.</w:t>
            </w:r>
          </w:p>
        </w:tc>
      </w:tr>
      <w:tr w:rsidR="005D4F4C" w:rsidRPr="00970E6D" w:rsidTr="0032676A">
        <w:tc>
          <w:tcPr>
            <w:tcW w:w="1605" w:type="pct"/>
            <w:tcBorders>
              <w:top w:val="single" w:sz="4" w:space="0" w:color="auto"/>
              <w:left w:val="single" w:sz="4" w:space="0" w:color="auto"/>
              <w:bottom w:val="single" w:sz="4" w:space="0" w:color="auto"/>
              <w:right w:val="single" w:sz="4" w:space="0" w:color="auto"/>
            </w:tcBorders>
          </w:tcPr>
          <w:p w:rsidR="005D4F4C" w:rsidRPr="00970E6D" w:rsidRDefault="005D4F4C" w:rsidP="0032676A">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5D4F4C" w:rsidRPr="00CF1294" w:rsidRDefault="005D4F4C" w:rsidP="0032676A">
            <w:pPr>
              <w:tabs>
                <w:tab w:val="clear" w:pos="567"/>
              </w:tabs>
            </w:pPr>
            <w:r w:rsidRPr="00CF1294">
              <w:t xml:space="preserve">It is the </w:t>
            </w:r>
            <w:r w:rsidR="002568D0">
              <w:t>C</w:t>
            </w:r>
            <w:r w:rsidRPr="00CF1294">
              <w:t xml:space="preserve">ommission’s normal practice to make State submissions available on its website under the CC BY licence, allowing free use of content by third parties. </w:t>
            </w:r>
          </w:p>
          <w:p w:rsidR="005D4F4C" w:rsidRPr="00CF1294" w:rsidRDefault="005D4F4C" w:rsidP="0032676A">
            <w:pPr>
              <w:tabs>
                <w:tab w:val="clear" w:pos="567"/>
              </w:tabs>
            </w:pPr>
            <w:r w:rsidRPr="00CF1294">
              <w:rPr>
                <w:noProof/>
                <w:lang w:eastAsia="en-AU"/>
              </w:rPr>
              <w:drawing>
                <wp:inline distT="0" distB="0" distL="0" distR="0" wp14:anchorId="7F99FD63" wp14:editId="519AB56D">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2"/>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5D4F4C" w:rsidRPr="00CF1294" w:rsidRDefault="005D4F4C" w:rsidP="0032676A">
            <w:pPr>
              <w:tabs>
                <w:tab w:val="clear" w:pos="567"/>
              </w:tabs>
            </w:pPr>
            <w:r w:rsidRPr="00CF1294">
              <w:t xml:space="preserve">Further information on the CC BY licence can be found </w:t>
            </w:r>
            <w:r w:rsidRPr="00EC79CF">
              <w:t xml:space="preserve">on the </w:t>
            </w:r>
            <w:hyperlink r:id="rId13"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5D4F4C" w:rsidRPr="00970E6D" w:rsidRDefault="005D4F4C" w:rsidP="002568D0">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2568D0">
              <w:t>C</w:t>
            </w:r>
            <w:r w:rsidRPr="00CF1294">
              <w:t>ommission’s website.</w:t>
            </w:r>
          </w:p>
        </w:tc>
      </w:tr>
    </w:tbl>
    <w:p w:rsidR="005D4F4C" w:rsidRDefault="005D4F4C" w:rsidP="005D4F4C">
      <w:pPr>
        <w:sectPr w:rsidR="005D4F4C" w:rsidSect="0032676A">
          <w:footerReference w:type="default" r:id="rId14"/>
          <w:footerReference w:type="first" r:id="rId15"/>
          <w:pgSz w:w="11899" w:h="16838" w:code="9"/>
          <w:pgMar w:top="1701" w:right="1474" w:bottom="1701" w:left="1474" w:header="709" w:footer="709" w:gutter="0"/>
          <w:pgNumType w:start="1"/>
          <w:cols w:space="708"/>
          <w:titlePg/>
          <w:docGrid w:linePitch="299"/>
        </w:sectPr>
      </w:pPr>
    </w:p>
    <w:bookmarkEnd w:id="0"/>
    <w:bookmarkEnd w:id="1"/>
    <w:bookmarkEnd w:id="2"/>
    <w:bookmarkEnd w:id="3"/>
    <w:bookmarkEnd w:id="4"/>
    <w:bookmarkEnd w:id="5"/>
    <w:bookmarkEnd w:id="6"/>
    <w:bookmarkEnd w:id="7"/>
    <w:p w:rsidR="0032262B" w:rsidRDefault="0032262B" w:rsidP="0032262B">
      <w:pPr>
        <w:pStyle w:val="Heading1"/>
      </w:pPr>
      <w:r>
        <w:lastRenderedPageBreak/>
        <w:t>Contents</w:t>
      </w:r>
    </w:p>
    <w:p w:rsidR="00890918" w:rsidRDefault="00890918" w:rsidP="0032262B"/>
    <w:p w:rsidR="00667694" w:rsidRDefault="0032262B">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824716" w:history="1">
        <w:r w:rsidR="00667694" w:rsidRPr="00283230">
          <w:rPr>
            <w:rStyle w:val="Hyperlink"/>
            <w:noProof/>
          </w:rPr>
          <w:t>Land revenue</w:t>
        </w:r>
        <w:r w:rsidR="00667694">
          <w:rPr>
            <w:noProof/>
            <w:webHidden/>
          </w:rPr>
          <w:tab/>
        </w:r>
        <w:r w:rsidR="00667694">
          <w:rPr>
            <w:noProof/>
            <w:webHidden/>
          </w:rPr>
          <w:fldChar w:fldCharType="begin"/>
        </w:r>
        <w:r w:rsidR="00667694">
          <w:rPr>
            <w:noProof/>
            <w:webHidden/>
          </w:rPr>
          <w:instrText xml:space="preserve"> PAGEREF _Toc511824716 \h </w:instrText>
        </w:r>
        <w:r w:rsidR="00667694">
          <w:rPr>
            <w:noProof/>
            <w:webHidden/>
          </w:rPr>
        </w:r>
        <w:r w:rsidR="00667694">
          <w:rPr>
            <w:noProof/>
            <w:webHidden/>
          </w:rPr>
          <w:fldChar w:fldCharType="separate"/>
        </w:r>
        <w:r w:rsidR="00667694">
          <w:rPr>
            <w:noProof/>
            <w:webHidden/>
          </w:rPr>
          <w:t>1</w:t>
        </w:r>
        <w:r w:rsidR="00667694">
          <w:rPr>
            <w:noProof/>
            <w:webHidden/>
          </w:rPr>
          <w:fldChar w:fldCharType="end"/>
        </w:r>
      </w:hyperlink>
    </w:p>
    <w:p w:rsidR="00667694" w:rsidRDefault="00D73CE3">
      <w:pPr>
        <w:pStyle w:val="TOC1"/>
        <w:rPr>
          <w:rFonts w:eastAsiaTheme="minorEastAsia"/>
          <w:b w:val="0"/>
          <w:bCs w:val="0"/>
          <w:caps w:val="0"/>
          <w:noProof/>
          <w:sz w:val="22"/>
          <w:szCs w:val="22"/>
          <w:lang w:eastAsia="en-AU"/>
        </w:rPr>
      </w:pPr>
      <w:hyperlink w:anchor="_Toc511824717" w:history="1">
        <w:r w:rsidR="00667694" w:rsidRPr="00283230">
          <w:rPr>
            <w:rStyle w:val="Hyperlink"/>
            <w:noProof/>
          </w:rPr>
          <w:t>2015 Review approach</w:t>
        </w:r>
        <w:r w:rsidR="00667694">
          <w:rPr>
            <w:noProof/>
            <w:webHidden/>
          </w:rPr>
          <w:tab/>
        </w:r>
        <w:r w:rsidR="00667694">
          <w:rPr>
            <w:noProof/>
            <w:webHidden/>
          </w:rPr>
          <w:fldChar w:fldCharType="begin"/>
        </w:r>
        <w:r w:rsidR="00667694">
          <w:rPr>
            <w:noProof/>
            <w:webHidden/>
          </w:rPr>
          <w:instrText xml:space="preserve"> PAGEREF _Toc511824717 \h </w:instrText>
        </w:r>
        <w:r w:rsidR="00667694">
          <w:rPr>
            <w:noProof/>
            <w:webHidden/>
          </w:rPr>
        </w:r>
        <w:r w:rsidR="00667694">
          <w:rPr>
            <w:noProof/>
            <w:webHidden/>
          </w:rPr>
          <w:fldChar w:fldCharType="separate"/>
        </w:r>
        <w:r w:rsidR="00667694">
          <w:rPr>
            <w:noProof/>
            <w:webHidden/>
          </w:rPr>
          <w:t>1</w:t>
        </w:r>
        <w:r w:rsidR="00667694">
          <w:rPr>
            <w:noProof/>
            <w:webHidden/>
          </w:rPr>
          <w:fldChar w:fldCharType="end"/>
        </w:r>
      </w:hyperlink>
    </w:p>
    <w:p w:rsidR="00667694" w:rsidRDefault="00D73CE3">
      <w:pPr>
        <w:pStyle w:val="TOC3"/>
        <w:rPr>
          <w:rFonts w:eastAsiaTheme="minorEastAsia"/>
          <w:iCs w:val="0"/>
          <w:noProof/>
          <w:sz w:val="22"/>
          <w:lang w:eastAsia="en-AU"/>
        </w:rPr>
      </w:pPr>
      <w:hyperlink w:anchor="_Toc511824718" w:history="1">
        <w:r w:rsidR="00667694" w:rsidRPr="00283230">
          <w:rPr>
            <w:rStyle w:val="Hyperlink"/>
            <w:noProof/>
          </w:rPr>
          <w:t>How was revenue capacity assessed?</w:t>
        </w:r>
        <w:r w:rsidR="00667694">
          <w:rPr>
            <w:noProof/>
            <w:webHidden/>
          </w:rPr>
          <w:tab/>
        </w:r>
        <w:r w:rsidR="00667694">
          <w:rPr>
            <w:noProof/>
            <w:webHidden/>
          </w:rPr>
          <w:fldChar w:fldCharType="begin"/>
        </w:r>
        <w:r w:rsidR="00667694">
          <w:rPr>
            <w:noProof/>
            <w:webHidden/>
          </w:rPr>
          <w:instrText xml:space="preserve"> PAGEREF _Toc511824718 \h </w:instrText>
        </w:r>
        <w:r w:rsidR="00667694">
          <w:rPr>
            <w:noProof/>
            <w:webHidden/>
          </w:rPr>
        </w:r>
        <w:r w:rsidR="00667694">
          <w:rPr>
            <w:noProof/>
            <w:webHidden/>
          </w:rPr>
          <w:fldChar w:fldCharType="separate"/>
        </w:r>
        <w:r w:rsidR="00667694">
          <w:rPr>
            <w:noProof/>
            <w:webHidden/>
          </w:rPr>
          <w:t>2</w:t>
        </w:r>
        <w:r w:rsidR="00667694">
          <w:rPr>
            <w:noProof/>
            <w:webHidden/>
          </w:rPr>
          <w:fldChar w:fldCharType="end"/>
        </w:r>
      </w:hyperlink>
    </w:p>
    <w:p w:rsidR="00667694" w:rsidRDefault="00D73CE3">
      <w:pPr>
        <w:pStyle w:val="TOC3"/>
        <w:rPr>
          <w:rFonts w:eastAsiaTheme="minorEastAsia"/>
          <w:iCs w:val="0"/>
          <w:noProof/>
          <w:sz w:val="22"/>
          <w:lang w:eastAsia="en-AU"/>
        </w:rPr>
      </w:pPr>
      <w:hyperlink w:anchor="_Toc511824719" w:history="1">
        <w:r w:rsidR="00667694" w:rsidRPr="00283230">
          <w:rPr>
            <w:rStyle w:val="Hyperlink"/>
            <w:noProof/>
          </w:rPr>
          <w:t>GST redistribution</w:t>
        </w:r>
        <w:r w:rsidR="00667694">
          <w:rPr>
            <w:noProof/>
            <w:webHidden/>
          </w:rPr>
          <w:tab/>
        </w:r>
        <w:r w:rsidR="00667694">
          <w:rPr>
            <w:noProof/>
            <w:webHidden/>
          </w:rPr>
          <w:fldChar w:fldCharType="begin"/>
        </w:r>
        <w:r w:rsidR="00667694">
          <w:rPr>
            <w:noProof/>
            <w:webHidden/>
          </w:rPr>
          <w:instrText xml:space="preserve"> PAGEREF _Toc511824719 \h </w:instrText>
        </w:r>
        <w:r w:rsidR="00667694">
          <w:rPr>
            <w:noProof/>
            <w:webHidden/>
          </w:rPr>
        </w:r>
        <w:r w:rsidR="00667694">
          <w:rPr>
            <w:noProof/>
            <w:webHidden/>
          </w:rPr>
          <w:fldChar w:fldCharType="separate"/>
        </w:r>
        <w:r w:rsidR="00667694">
          <w:rPr>
            <w:noProof/>
            <w:webHidden/>
          </w:rPr>
          <w:t>3</w:t>
        </w:r>
        <w:r w:rsidR="00667694">
          <w:rPr>
            <w:noProof/>
            <w:webHidden/>
          </w:rPr>
          <w:fldChar w:fldCharType="end"/>
        </w:r>
      </w:hyperlink>
    </w:p>
    <w:p w:rsidR="00667694" w:rsidRDefault="00D73CE3">
      <w:pPr>
        <w:pStyle w:val="TOC1"/>
        <w:rPr>
          <w:rFonts w:eastAsiaTheme="minorEastAsia"/>
          <w:b w:val="0"/>
          <w:bCs w:val="0"/>
          <w:caps w:val="0"/>
          <w:noProof/>
          <w:sz w:val="22"/>
          <w:szCs w:val="22"/>
          <w:lang w:eastAsia="en-AU"/>
        </w:rPr>
      </w:pPr>
      <w:hyperlink w:anchor="_Toc511824720" w:history="1">
        <w:r w:rsidR="00667694" w:rsidRPr="00283230">
          <w:rPr>
            <w:rStyle w:val="Hyperlink"/>
            <w:noProof/>
          </w:rPr>
          <w:t>Issues and analysis</w:t>
        </w:r>
        <w:r w:rsidR="00667694">
          <w:rPr>
            <w:noProof/>
            <w:webHidden/>
          </w:rPr>
          <w:tab/>
        </w:r>
        <w:r w:rsidR="00667694">
          <w:rPr>
            <w:noProof/>
            <w:webHidden/>
          </w:rPr>
          <w:fldChar w:fldCharType="begin"/>
        </w:r>
        <w:r w:rsidR="00667694">
          <w:rPr>
            <w:noProof/>
            <w:webHidden/>
          </w:rPr>
          <w:instrText xml:space="preserve"> PAGEREF _Toc511824720 \h </w:instrText>
        </w:r>
        <w:r w:rsidR="00667694">
          <w:rPr>
            <w:noProof/>
            <w:webHidden/>
          </w:rPr>
        </w:r>
        <w:r w:rsidR="00667694">
          <w:rPr>
            <w:noProof/>
            <w:webHidden/>
          </w:rPr>
          <w:fldChar w:fldCharType="separate"/>
        </w:r>
        <w:r w:rsidR="00667694">
          <w:rPr>
            <w:noProof/>
            <w:webHidden/>
          </w:rPr>
          <w:t>4</w:t>
        </w:r>
        <w:r w:rsidR="00667694">
          <w:rPr>
            <w:noProof/>
            <w:webHidden/>
          </w:rPr>
          <w:fldChar w:fldCharType="end"/>
        </w:r>
      </w:hyperlink>
    </w:p>
    <w:p w:rsidR="00667694" w:rsidRDefault="00D73CE3">
      <w:pPr>
        <w:pStyle w:val="TOC3"/>
        <w:rPr>
          <w:rFonts w:eastAsiaTheme="minorEastAsia"/>
          <w:iCs w:val="0"/>
          <w:noProof/>
          <w:sz w:val="22"/>
          <w:lang w:eastAsia="en-AU"/>
        </w:rPr>
      </w:pPr>
      <w:hyperlink w:anchor="_Toc511824721" w:history="1">
        <w:r w:rsidR="00667694" w:rsidRPr="00283230">
          <w:rPr>
            <w:rStyle w:val="Hyperlink"/>
            <w:noProof/>
          </w:rPr>
          <w:t>Which revenues should be included in the category?</w:t>
        </w:r>
        <w:r w:rsidR="00667694">
          <w:rPr>
            <w:noProof/>
            <w:webHidden/>
          </w:rPr>
          <w:tab/>
        </w:r>
        <w:r w:rsidR="00667694">
          <w:rPr>
            <w:noProof/>
            <w:webHidden/>
          </w:rPr>
          <w:fldChar w:fldCharType="begin"/>
        </w:r>
        <w:r w:rsidR="00667694">
          <w:rPr>
            <w:noProof/>
            <w:webHidden/>
          </w:rPr>
          <w:instrText xml:space="preserve"> PAGEREF _Toc511824721 \h </w:instrText>
        </w:r>
        <w:r w:rsidR="00667694">
          <w:rPr>
            <w:noProof/>
            <w:webHidden/>
          </w:rPr>
        </w:r>
        <w:r w:rsidR="00667694">
          <w:rPr>
            <w:noProof/>
            <w:webHidden/>
          </w:rPr>
          <w:fldChar w:fldCharType="separate"/>
        </w:r>
        <w:r w:rsidR="00667694">
          <w:rPr>
            <w:noProof/>
            <w:webHidden/>
          </w:rPr>
          <w:t>4</w:t>
        </w:r>
        <w:r w:rsidR="00667694">
          <w:rPr>
            <w:noProof/>
            <w:webHidden/>
          </w:rPr>
          <w:fldChar w:fldCharType="end"/>
        </w:r>
      </w:hyperlink>
    </w:p>
    <w:p w:rsidR="00667694" w:rsidRDefault="00D73CE3">
      <w:pPr>
        <w:pStyle w:val="TOC3"/>
        <w:rPr>
          <w:rFonts w:eastAsiaTheme="minorEastAsia"/>
          <w:iCs w:val="0"/>
          <w:noProof/>
          <w:sz w:val="22"/>
          <w:lang w:eastAsia="en-AU"/>
        </w:rPr>
      </w:pPr>
      <w:hyperlink w:anchor="_Toc511824722" w:history="1">
        <w:r w:rsidR="00667694" w:rsidRPr="00283230">
          <w:rPr>
            <w:rStyle w:val="Hyperlink"/>
            <w:noProof/>
          </w:rPr>
          <w:t>What are the drivers of revenue capacity?</w:t>
        </w:r>
        <w:r w:rsidR="00667694">
          <w:rPr>
            <w:noProof/>
            <w:webHidden/>
          </w:rPr>
          <w:tab/>
        </w:r>
        <w:r w:rsidR="00667694">
          <w:rPr>
            <w:noProof/>
            <w:webHidden/>
          </w:rPr>
          <w:fldChar w:fldCharType="begin"/>
        </w:r>
        <w:r w:rsidR="00667694">
          <w:rPr>
            <w:noProof/>
            <w:webHidden/>
          </w:rPr>
          <w:instrText xml:space="preserve"> PAGEREF _Toc511824722 \h </w:instrText>
        </w:r>
        <w:r w:rsidR="00667694">
          <w:rPr>
            <w:noProof/>
            <w:webHidden/>
          </w:rPr>
        </w:r>
        <w:r w:rsidR="00667694">
          <w:rPr>
            <w:noProof/>
            <w:webHidden/>
          </w:rPr>
          <w:fldChar w:fldCharType="separate"/>
        </w:r>
        <w:r w:rsidR="00667694">
          <w:rPr>
            <w:noProof/>
            <w:webHidden/>
          </w:rPr>
          <w:t>7</w:t>
        </w:r>
        <w:r w:rsidR="00667694">
          <w:rPr>
            <w:noProof/>
            <w:webHidden/>
          </w:rPr>
          <w:fldChar w:fldCharType="end"/>
        </w:r>
      </w:hyperlink>
    </w:p>
    <w:p w:rsidR="00667694" w:rsidRDefault="00D73CE3">
      <w:pPr>
        <w:pStyle w:val="TOC3"/>
        <w:rPr>
          <w:rFonts w:eastAsiaTheme="minorEastAsia"/>
          <w:iCs w:val="0"/>
          <w:noProof/>
          <w:sz w:val="22"/>
          <w:lang w:eastAsia="en-AU"/>
        </w:rPr>
      </w:pPr>
      <w:hyperlink w:anchor="_Toc511824723" w:history="1">
        <w:r w:rsidR="00667694" w:rsidRPr="00283230">
          <w:rPr>
            <w:rStyle w:val="Hyperlink"/>
            <w:noProof/>
          </w:rPr>
          <w:t>Which source of data should the Commission use to assess revenue capacity?</w:t>
        </w:r>
        <w:r w:rsidR="00667694">
          <w:rPr>
            <w:noProof/>
            <w:webHidden/>
          </w:rPr>
          <w:tab/>
        </w:r>
        <w:r w:rsidR="00667694">
          <w:rPr>
            <w:noProof/>
            <w:webHidden/>
          </w:rPr>
          <w:fldChar w:fldCharType="begin"/>
        </w:r>
        <w:r w:rsidR="00667694">
          <w:rPr>
            <w:noProof/>
            <w:webHidden/>
          </w:rPr>
          <w:instrText xml:space="preserve"> PAGEREF _Toc511824723 \h </w:instrText>
        </w:r>
        <w:r w:rsidR="00667694">
          <w:rPr>
            <w:noProof/>
            <w:webHidden/>
          </w:rPr>
        </w:r>
        <w:r w:rsidR="00667694">
          <w:rPr>
            <w:noProof/>
            <w:webHidden/>
          </w:rPr>
          <w:fldChar w:fldCharType="separate"/>
        </w:r>
        <w:r w:rsidR="00667694">
          <w:rPr>
            <w:noProof/>
            <w:webHidden/>
          </w:rPr>
          <w:t>12</w:t>
        </w:r>
        <w:r w:rsidR="00667694">
          <w:rPr>
            <w:noProof/>
            <w:webHidden/>
          </w:rPr>
          <w:fldChar w:fldCharType="end"/>
        </w:r>
      </w:hyperlink>
    </w:p>
    <w:p w:rsidR="00667694" w:rsidRDefault="00D73CE3">
      <w:pPr>
        <w:pStyle w:val="TOC3"/>
        <w:rPr>
          <w:rFonts w:eastAsiaTheme="minorEastAsia"/>
          <w:iCs w:val="0"/>
          <w:noProof/>
          <w:sz w:val="22"/>
          <w:lang w:eastAsia="en-AU"/>
        </w:rPr>
      </w:pPr>
      <w:hyperlink w:anchor="_Toc511824724" w:history="1">
        <w:r w:rsidR="00667694" w:rsidRPr="00283230">
          <w:rPr>
            <w:rStyle w:val="Hyperlink"/>
            <w:noProof/>
          </w:rPr>
          <w:t>Other issues considered</w:t>
        </w:r>
        <w:r w:rsidR="00667694">
          <w:rPr>
            <w:noProof/>
            <w:webHidden/>
          </w:rPr>
          <w:tab/>
        </w:r>
        <w:r w:rsidR="00667694">
          <w:rPr>
            <w:noProof/>
            <w:webHidden/>
          </w:rPr>
          <w:fldChar w:fldCharType="begin"/>
        </w:r>
        <w:r w:rsidR="00667694">
          <w:rPr>
            <w:noProof/>
            <w:webHidden/>
          </w:rPr>
          <w:instrText xml:space="preserve"> PAGEREF _Toc511824724 \h </w:instrText>
        </w:r>
        <w:r w:rsidR="00667694">
          <w:rPr>
            <w:noProof/>
            <w:webHidden/>
          </w:rPr>
        </w:r>
        <w:r w:rsidR="00667694">
          <w:rPr>
            <w:noProof/>
            <w:webHidden/>
          </w:rPr>
          <w:fldChar w:fldCharType="separate"/>
        </w:r>
        <w:r w:rsidR="00667694">
          <w:rPr>
            <w:noProof/>
            <w:webHidden/>
          </w:rPr>
          <w:t>15</w:t>
        </w:r>
        <w:r w:rsidR="00667694">
          <w:rPr>
            <w:noProof/>
            <w:webHidden/>
          </w:rPr>
          <w:fldChar w:fldCharType="end"/>
        </w:r>
      </w:hyperlink>
    </w:p>
    <w:p w:rsidR="00667694" w:rsidRDefault="00D73CE3">
      <w:pPr>
        <w:pStyle w:val="TOC1"/>
        <w:rPr>
          <w:rFonts w:eastAsiaTheme="minorEastAsia"/>
          <w:b w:val="0"/>
          <w:bCs w:val="0"/>
          <w:caps w:val="0"/>
          <w:noProof/>
          <w:sz w:val="22"/>
          <w:szCs w:val="22"/>
          <w:lang w:eastAsia="en-AU"/>
        </w:rPr>
      </w:pPr>
      <w:hyperlink w:anchor="_Toc511824725" w:history="1">
        <w:r w:rsidR="00667694" w:rsidRPr="00283230">
          <w:rPr>
            <w:rStyle w:val="Hyperlink"/>
            <w:noProof/>
          </w:rPr>
          <w:t>Conclusion and way forward</w:t>
        </w:r>
        <w:r w:rsidR="00667694">
          <w:rPr>
            <w:noProof/>
            <w:webHidden/>
          </w:rPr>
          <w:tab/>
        </w:r>
        <w:r w:rsidR="00667694">
          <w:rPr>
            <w:noProof/>
            <w:webHidden/>
          </w:rPr>
          <w:fldChar w:fldCharType="begin"/>
        </w:r>
        <w:r w:rsidR="00667694">
          <w:rPr>
            <w:noProof/>
            <w:webHidden/>
          </w:rPr>
          <w:instrText xml:space="preserve"> PAGEREF _Toc511824725 \h </w:instrText>
        </w:r>
        <w:r w:rsidR="00667694">
          <w:rPr>
            <w:noProof/>
            <w:webHidden/>
          </w:rPr>
        </w:r>
        <w:r w:rsidR="00667694">
          <w:rPr>
            <w:noProof/>
            <w:webHidden/>
          </w:rPr>
          <w:fldChar w:fldCharType="separate"/>
        </w:r>
        <w:r w:rsidR="00667694">
          <w:rPr>
            <w:noProof/>
            <w:webHidden/>
          </w:rPr>
          <w:t>15</w:t>
        </w:r>
        <w:r w:rsidR="00667694">
          <w:rPr>
            <w:noProof/>
            <w:webHidden/>
          </w:rPr>
          <w:fldChar w:fldCharType="end"/>
        </w:r>
      </w:hyperlink>
    </w:p>
    <w:p w:rsidR="00667694" w:rsidRDefault="00D73CE3">
      <w:pPr>
        <w:pStyle w:val="TOC3"/>
        <w:rPr>
          <w:rFonts w:eastAsiaTheme="minorEastAsia"/>
          <w:iCs w:val="0"/>
          <w:noProof/>
          <w:sz w:val="22"/>
          <w:lang w:eastAsia="en-AU"/>
        </w:rPr>
      </w:pPr>
      <w:hyperlink w:anchor="_Toc511824726" w:history="1">
        <w:r w:rsidR="00667694" w:rsidRPr="00283230">
          <w:rPr>
            <w:rStyle w:val="Hyperlink"/>
            <w:noProof/>
          </w:rPr>
          <w:t>Proposed assessment structure</w:t>
        </w:r>
        <w:r w:rsidR="00667694">
          <w:rPr>
            <w:noProof/>
            <w:webHidden/>
          </w:rPr>
          <w:tab/>
        </w:r>
        <w:r w:rsidR="00667694">
          <w:rPr>
            <w:noProof/>
            <w:webHidden/>
          </w:rPr>
          <w:fldChar w:fldCharType="begin"/>
        </w:r>
        <w:r w:rsidR="00667694">
          <w:rPr>
            <w:noProof/>
            <w:webHidden/>
          </w:rPr>
          <w:instrText xml:space="preserve"> PAGEREF _Toc511824726 \h </w:instrText>
        </w:r>
        <w:r w:rsidR="00667694">
          <w:rPr>
            <w:noProof/>
            <w:webHidden/>
          </w:rPr>
        </w:r>
        <w:r w:rsidR="00667694">
          <w:rPr>
            <w:noProof/>
            <w:webHidden/>
          </w:rPr>
          <w:fldChar w:fldCharType="separate"/>
        </w:r>
        <w:r w:rsidR="00667694">
          <w:rPr>
            <w:noProof/>
            <w:webHidden/>
          </w:rPr>
          <w:t>15</w:t>
        </w:r>
        <w:r w:rsidR="00667694">
          <w:rPr>
            <w:noProof/>
            <w:webHidden/>
          </w:rPr>
          <w:fldChar w:fldCharType="end"/>
        </w:r>
      </w:hyperlink>
    </w:p>
    <w:p w:rsidR="00667694" w:rsidRDefault="00D73CE3">
      <w:pPr>
        <w:pStyle w:val="TOC1"/>
        <w:rPr>
          <w:rFonts w:eastAsiaTheme="minorEastAsia"/>
          <w:b w:val="0"/>
          <w:bCs w:val="0"/>
          <w:caps w:val="0"/>
          <w:noProof/>
          <w:sz w:val="22"/>
          <w:szCs w:val="22"/>
          <w:lang w:eastAsia="en-AU"/>
        </w:rPr>
      </w:pPr>
      <w:hyperlink w:anchor="_Toc511824727" w:history="1">
        <w:r w:rsidR="00667694" w:rsidRPr="00283230">
          <w:rPr>
            <w:rStyle w:val="Hyperlink"/>
            <w:noProof/>
          </w:rPr>
          <w:t>Attachment A: State land based taxes</w:t>
        </w:r>
        <w:r w:rsidR="00667694">
          <w:rPr>
            <w:noProof/>
            <w:webHidden/>
          </w:rPr>
          <w:tab/>
        </w:r>
        <w:r w:rsidR="00667694">
          <w:rPr>
            <w:noProof/>
            <w:webHidden/>
          </w:rPr>
          <w:fldChar w:fldCharType="begin"/>
        </w:r>
        <w:r w:rsidR="00667694">
          <w:rPr>
            <w:noProof/>
            <w:webHidden/>
          </w:rPr>
          <w:instrText xml:space="preserve"> PAGEREF _Toc511824727 \h </w:instrText>
        </w:r>
        <w:r w:rsidR="00667694">
          <w:rPr>
            <w:noProof/>
            <w:webHidden/>
          </w:rPr>
        </w:r>
        <w:r w:rsidR="00667694">
          <w:rPr>
            <w:noProof/>
            <w:webHidden/>
          </w:rPr>
          <w:fldChar w:fldCharType="separate"/>
        </w:r>
        <w:r w:rsidR="00667694">
          <w:rPr>
            <w:noProof/>
            <w:webHidden/>
          </w:rPr>
          <w:t>17</w:t>
        </w:r>
        <w:r w:rsidR="00667694">
          <w:rPr>
            <w:noProof/>
            <w:webHidden/>
          </w:rPr>
          <w:fldChar w:fldCharType="end"/>
        </w:r>
      </w:hyperlink>
    </w:p>
    <w:p w:rsidR="0032262B" w:rsidRDefault="0032262B" w:rsidP="0032262B">
      <w:r>
        <w:fldChar w:fldCharType="end"/>
      </w:r>
    </w:p>
    <w:p w:rsidR="0032262B" w:rsidRDefault="0032262B" w:rsidP="0032262B"/>
    <w:p w:rsidR="0032262B" w:rsidRPr="002B17EB" w:rsidRDefault="0032262B" w:rsidP="0032262B">
      <w:pPr>
        <w:sectPr w:rsidR="0032262B" w:rsidRPr="002B17EB" w:rsidSect="0032676A">
          <w:pgSz w:w="11899" w:h="16838" w:code="9"/>
          <w:pgMar w:top="1701" w:right="1474" w:bottom="1701" w:left="1474" w:header="709" w:footer="709" w:gutter="0"/>
          <w:pgNumType w:fmt="lowerRoman" w:start="1"/>
          <w:cols w:space="708"/>
          <w:titlePg/>
          <w:docGrid w:linePitch="299"/>
        </w:sectPr>
      </w:pPr>
    </w:p>
    <w:p w:rsidR="0032262B" w:rsidRDefault="0032262B" w:rsidP="0032262B">
      <w:pPr>
        <w:pStyle w:val="Heading2"/>
      </w:pPr>
      <w:bookmarkStart w:id="9" w:name="_Toc511722547"/>
      <w:bookmarkStart w:id="10" w:name="_Toc511824716"/>
      <w:r>
        <w:lastRenderedPageBreak/>
        <w:t>Land revenue</w:t>
      </w:r>
      <w:bookmarkEnd w:id="9"/>
      <w:bookmarkEnd w:id="10"/>
    </w:p>
    <w:p w:rsidR="005675FC" w:rsidRDefault="005675FC" w:rsidP="0032262B">
      <w:pPr>
        <w:pStyle w:val="CGCNumberedPara"/>
        <w:numPr>
          <w:ilvl w:val="1"/>
          <w:numId w:val="3"/>
        </w:numPr>
      </w:pPr>
      <w:r>
        <w:t>The paper provides Commission staff proposals for the assessment of Land revenue for the 2020 Review.</w:t>
      </w:r>
    </w:p>
    <w:p w:rsidR="005675FC" w:rsidRPr="00F83306" w:rsidRDefault="005675FC" w:rsidP="005675FC">
      <w:pPr>
        <w:pStyle w:val="Heading3"/>
      </w:pPr>
      <w:bookmarkStart w:id="11" w:name="_Toc511824717"/>
      <w:r w:rsidRPr="00F83306">
        <w:t>2015 R</w:t>
      </w:r>
      <w:r>
        <w:t>eview approach</w:t>
      </w:r>
      <w:bookmarkEnd w:id="11"/>
    </w:p>
    <w:p w:rsidR="0032262B" w:rsidRDefault="0032262B" w:rsidP="0032262B">
      <w:pPr>
        <w:pStyle w:val="CGCNumberedPara"/>
        <w:numPr>
          <w:ilvl w:val="1"/>
          <w:numId w:val="3"/>
        </w:numPr>
      </w:pPr>
      <w:r w:rsidRPr="003E17FD">
        <w:rPr>
          <w:szCs w:val="22"/>
        </w:rPr>
        <w:t xml:space="preserve">The </w:t>
      </w:r>
      <w:r>
        <w:rPr>
          <w:szCs w:val="22"/>
        </w:rPr>
        <w:t>Land revenue</w:t>
      </w:r>
      <w:r w:rsidRPr="003E17FD">
        <w:rPr>
          <w:szCs w:val="22"/>
        </w:rPr>
        <w:t xml:space="preserve"> category </w:t>
      </w:r>
      <w:r>
        <w:rPr>
          <w:szCs w:val="22"/>
        </w:rPr>
        <w:t>compris</w:t>
      </w:r>
      <w:r w:rsidRPr="003E17FD">
        <w:rPr>
          <w:szCs w:val="22"/>
        </w:rPr>
        <w:t>e</w:t>
      </w:r>
      <w:r>
        <w:rPr>
          <w:szCs w:val="22"/>
        </w:rPr>
        <w:t>d</w:t>
      </w:r>
      <w:r w:rsidRPr="003E17FD">
        <w:rPr>
          <w:szCs w:val="22"/>
        </w:rPr>
        <w:t xml:space="preserve"> </w:t>
      </w:r>
      <w:r>
        <w:rPr>
          <w:szCs w:val="22"/>
        </w:rPr>
        <w:t>revenue from taxes on land ownership</w:t>
      </w:r>
      <w:r>
        <w:t>.</w:t>
      </w:r>
      <w:r w:rsidRPr="00A66AD0">
        <w:t xml:space="preserve"> </w:t>
      </w:r>
      <w:r>
        <w:t>Revenue from the transfer of land ownership was included in the Stamp duty category.</w:t>
      </w:r>
    </w:p>
    <w:p w:rsidR="0032262B" w:rsidRDefault="0032262B" w:rsidP="0032262B">
      <w:pPr>
        <w:pStyle w:val="CGCNumberedPara"/>
        <w:numPr>
          <w:ilvl w:val="1"/>
          <w:numId w:val="3"/>
        </w:numPr>
      </w:pPr>
      <w:r>
        <w:t>The land based taxes included in the category were: Land tax on residential investment, commercial and industrial land; property based Fire and Emergency Services Levies (FESLs); metropolitan levies</w:t>
      </w:r>
      <w:r>
        <w:rPr>
          <w:rStyle w:val="FootnoteReference"/>
        </w:rPr>
        <w:footnoteReference w:id="1"/>
      </w:r>
      <w:r>
        <w:t xml:space="preserve">; and </w:t>
      </w:r>
      <w:r w:rsidR="00E0681C">
        <w:t xml:space="preserve">the </w:t>
      </w:r>
      <w:r>
        <w:t>ACT’s replacement revenue</w:t>
      </w:r>
      <w:r>
        <w:rPr>
          <w:rStyle w:val="FootnoteReference"/>
        </w:rPr>
        <w:footnoteReference w:id="2"/>
      </w:r>
      <w:r>
        <w:t>.</w:t>
      </w:r>
    </w:p>
    <w:p w:rsidR="0032262B" w:rsidRDefault="0032262B" w:rsidP="0032262B">
      <w:pPr>
        <w:pStyle w:val="CGCNumberedPara"/>
        <w:numPr>
          <w:ilvl w:val="1"/>
          <w:numId w:val="3"/>
        </w:numPr>
      </w:pPr>
      <w:r>
        <w:t>Some land based taxes were not included. They comprised revenue from planning and development levies, and parking space levies.</w:t>
      </w:r>
      <w:r w:rsidRPr="00EA26BB">
        <w:t xml:space="preserve"> </w:t>
      </w:r>
      <w:r>
        <w:t>Planning and development levies were not included because the driver of those levies was the value of properties under development, data that were confidential and not available. Parking space levies were treated as user charges. These revenue streams were assessed equal per capita</w:t>
      </w:r>
      <w:r>
        <w:rPr>
          <w:rStyle w:val="FootnoteReference"/>
        </w:rPr>
        <w:footnoteReference w:id="3"/>
      </w:r>
      <w:r>
        <w:t xml:space="preserve"> (EPC) and included in the Other revenue category.</w:t>
      </w:r>
    </w:p>
    <w:p w:rsidR="0032262B" w:rsidRDefault="0032262B" w:rsidP="0032262B">
      <w:pPr>
        <w:pStyle w:val="CGCNumberedPara"/>
        <w:numPr>
          <w:ilvl w:val="1"/>
          <w:numId w:val="3"/>
        </w:numPr>
      </w:pPr>
      <w:r>
        <w:fldChar w:fldCharType="begin"/>
      </w:r>
      <w:r>
        <w:instrText xml:space="preserve"> REF _Ref498670239 \h </w:instrText>
      </w:r>
      <w:r>
        <w:fldChar w:fldCharType="separate"/>
      </w:r>
      <w:r w:rsidR="002839F7">
        <w:t>Table </w:t>
      </w:r>
      <w:r w:rsidR="002839F7">
        <w:rPr>
          <w:noProof/>
        </w:rPr>
        <w:t>1</w:t>
      </w:r>
      <w:r>
        <w:fldChar w:fldCharType="end"/>
      </w:r>
      <w:r>
        <w:t xml:space="preserve"> shows the composition of the Land revenue category in 2016-17. </w:t>
      </w:r>
      <w:r>
        <w:rPr>
          <w:szCs w:val="22"/>
        </w:rPr>
        <w:t>The income producing property component comprised revenue from Land tax. The general property component comprised revenue from the other land based taxes included in the category.</w:t>
      </w:r>
    </w:p>
    <w:p w:rsidR="0032262B" w:rsidRDefault="0032262B" w:rsidP="0032262B">
      <w:pPr>
        <w:pStyle w:val="CGCTableHeading"/>
      </w:pPr>
      <w:bookmarkStart w:id="12" w:name="_Ref498670239"/>
      <w:r>
        <w:t>Table </w:t>
      </w:r>
      <w:r w:rsidR="00D73CE3">
        <w:fldChar w:fldCharType="begin"/>
      </w:r>
      <w:r w:rsidR="00D73CE3">
        <w:instrText xml:space="preserve"> SEQ Table \* ARABIC </w:instrText>
      </w:r>
      <w:r w:rsidR="00D73CE3">
        <w:fldChar w:fldCharType="separate"/>
      </w:r>
      <w:r w:rsidR="002839F7">
        <w:rPr>
          <w:noProof/>
        </w:rPr>
        <w:t>1</w:t>
      </w:r>
      <w:r w:rsidR="00D73CE3">
        <w:rPr>
          <w:noProof/>
        </w:rPr>
        <w:fldChar w:fldCharType="end"/>
      </w:r>
      <w:bookmarkEnd w:id="12"/>
      <w:r>
        <w:tab/>
        <w:t>Land revenue by component, 2016-17</w:t>
      </w:r>
    </w:p>
    <w:tbl>
      <w:tblPr>
        <w:tblW w:w="5000" w:type="pct"/>
        <w:tblLayout w:type="fixed"/>
        <w:tblCellMar>
          <w:left w:w="0" w:type="dxa"/>
          <w:right w:w="0" w:type="dxa"/>
        </w:tblCellMar>
        <w:tblLook w:val="0000" w:firstRow="0" w:lastRow="0" w:firstColumn="0" w:lastColumn="0" w:noHBand="0" w:noVBand="0"/>
      </w:tblPr>
      <w:tblGrid>
        <w:gridCol w:w="3701"/>
        <w:gridCol w:w="2624"/>
        <w:gridCol w:w="2626"/>
      </w:tblGrid>
      <w:tr w:rsidR="0032262B" w:rsidRPr="004537EA" w:rsidTr="0032676A">
        <w:tc>
          <w:tcPr>
            <w:tcW w:w="2067" w:type="pct"/>
            <w:tcBorders>
              <w:top w:val="single" w:sz="6" w:space="0" w:color="auto"/>
              <w:bottom w:val="single" w:sz="6" w:space="0" w:color="auto"/>
            </w:tcBorders>
            <w:vAlign w:val="center"/>
          </w:tcPr>
          <w:p w:rsidR="0032262B" w:rsidRPr="004537EA" w:rsidRDefault="0032262B" w:rsidP="0032676A">
            <w:pPr>
              <w:pStyle w:val="TableColHeadings"/>
              <w:ind w:left="193" w:hanging="142"/>
              <w:jc w:val="left"/>
              <w:rPr>
                <w:rFonts w:cstheme="minorHAnsi"/>
              </w:rPr>
            </w:pPr>
            <w:r>
              <w:rPr>
                <w:rFonts w:cstheme="minorHAnsi"/>
              </w:rPr>
              <w:t>Component</w:t>
            </w:r>
          </w:p>
        </w:tc>
        <w:tc>
          <w:tcPr>
            <w:tcW w:w="1466" w:type="pct"/>
            <w:tcBorders>
              <w:top w:val="single" w:sz="6" w:space="0" w:color="auto"/>
              <w:bottom w:val="single" w:sz="6" w:space="0" w:color="auto"/>
            </w:tcBorders>
            <w:vAlign w:val="center"/>
          </w:tcPr>
          <w:p w:rsidR="0032262B" w:rsidRPr="004537EA" w:rsidRDefault="0032262B" w:rsidP="0032676A">
            <w:pPr>
              <w:pStyle w:val="TableColHeadings"/>
              <w:rPr>
                <w:rFonts w:cstheme="minorHAnsi"/>
              </w:rPr>
            </w:pPr>
            <w:r>
              <w:rPr>
                <w:rFonts w:cstheme="minorHAnsi"/>
              </w:rPr>
              <w:t>Revenue</w:t>
            </w:r>
          </w:p>
        </w:tc>
        <w:tc>
          <w:tcPr>
            <w:tcW w:w="1467" w:type="pct"/>
            <w:tcBorders>
              <w:top w:val="single" w:sz="6" w:space="0" w:color="auto"/>
              <w:bottom w:val="single" w:sz="6" w:space="0" w:color="auto"/>
            </w:tcBorders>
            <w:vAlign w:val="center"/>
          </w:tcPr>
          <w:p w:rsidR="0032262B" w:rsidRPr="004537EA" w:rsidRDefault="0032262B" w:rsidP="0032676A">
            <w:pPr>
              <w:pStyle w:val="TableColHeadings"/>
              <w:rPr>
                <w:rFonts w:cstheme="minorHAnsi"/>
              </w:rPr>
            </w:pPr>
            <w:r>
              <w:rPr>
                <w:rFonts w:cstheme="minorHAnsi"/>
              </w:rPr>
              <w:t>Proportion of total revenue</w:t>
            </w:r>
          </w:p>
        </w:tc>
      </w:tr>
      <w:tr w:rsidR="0032262B" w:rsidRPr="004537EA" w:rsidTr="0032676A">
        <w:tc>
          <w:tcPr>
            <w:tcW w:w="2067" w:type="pct"/>
            <w:tcMar>
              <w:top w:w="0" w:type="dxa"/>
              <w:bottom w:w="0" w:type="dxa"/>
            </w:tcMar>
            <w:vAlign w:val="bottom"/>
          </w:tcPr>
          <w:p w:rsidR="0032262B" w:rsidRPr="004537EA" w:rsidRDefault="0032262B" w:rsidP="0032676A">
            <w:pPr>
              <w:pStyle w:val="TableRowUnits"/>
              <w:ind w:left="193" w:hanging="142"/>
              <w:rPr>
                <w:rFonts w:cstheme="minorHAnsi"/>
              </w:rPr>
            </w:pPr>
          </w:p>
        </w:tc>
        <w:tc>
          <w:tcPr>
            <w:tcW w:w="1466" w:type="pct"/>
            <w:tcMar>
              <w:top w:w="0" w:type="dxa"/>
              <w:bottom w:w="0" w:type="dxa"/>
            </w:tcMar>
            <w:vAlign w:val="bottom"/>
          </w:tcPr>
          <w:p w:rsidR="0032262B" w:rsidRPr="004537EA" w:rsidRDefault="0032262B" w:rsidP="0032676A">
            <w:pPr>
              <w:pStyle w:val="TableRowUnits"/>
              <w:rPr>
                <w:rFonts w:cstheme="minorHAnsi"/>
              </w:rPr>
            </w:pPr>
            <w:r>
              <w:rPr>
                <w:rFonts w:cstheme="minorHAnsi"/>
              </w:rPr>
              <w:t>$m</w:t>
            </w:r>
          </w:p>
        </w:tc>
        <w:tc>
          <w:tcPr>
            <w:tcW w:w="1467" w:type="pct"/>
            <w:tcMar>
              <w:top w:w="0" w:type="dxa"/>
              <w:bottom w:w="0" w:type="dxa"/>
            </w:tcMar>
            <w:vAlign w:val="bottom"/>
          </w:tcPr>
          <w:p w:rsidR="0032262B" w:rsidRPr="004537EA" w:rsidRDefault="0032262B" w:rsidP="0032676A">
            <w:pPr>
              <w:pStyle w:val="TableRowUnits"/>
              <w:rPr>
                <w:rFonts w:cstheme="minorHAnsi"/>
              </w:rPr>
            </w:pPr>
            <w:r>
              <w:rPr>
                <w:rFonts w:cstheme="minorHAnsi"/>
              </w:rPr>
              <w:t>%</w:t>
            </w:r>
          </w:p>
        </w:tc>
      </w:tr>
      <w:tr w:rsidR="0032262B" w:rsidRPr="004537EA" w:rsidTr="0032676A">
        <w:tc>
          <w:tcPr>
            <w:tcW w:w="2067" w:type="pct"/>
            <w:vAlign w:val="bottom"/>
          </w:tcPr>
          <w:p w:rsidR="0032262B" w:rsidRPr="004537EA" w:rsidRDefault="0032262B" w:rsidP="0032676A">
            <w:pPr>
              <w:pStyle w:val="CGCTableStub"/>
              <w:ind w:left="193" w:hanging="142"/>
              <w:rPr>
                <w:rFonts w:cstheme="minorHAnsi"/>
              </w:rPr>
            </w:pPr>
            <w:r>
              <w:rPr>
                <w:rFonts w:cstheme="minorHAnsi"/>
              </w:rPr>
              <w:t>Income producing property (Land tax)</w:t>
            </w:r>
          </w:p>
        </w:tc>
        <w:tc>
          <w:tcPr>
            <w:tcW w:w="1466" w:type="pct"/>
            <w:vAlign w:val="bottom"/>
          </w:tcPr>
          <w:p w:rsidR="0032262B" w:rsidRPr="004537EA" w:rsidRDefault="0032262B" w:rsidP="0032676A">
            <w:pPr>
              <w:pStyle w:val="TableRowNormal"/>
              <w:rPr>
                <w:rFonts w:cstheme="minorHAnsi"/>
              </w:rPr>
            </w:pPr>
            <w:r>
              <w:rPr>
                <w:rFonts w:cstheme="minorHAnsi"/>
              </w:rPr>
              <w:t>8 253</w:t>
            </w:r>
          </w:p>
        </w:tc>
        <w:tc>
          <w:tcPr>
            <w:tcW w:w="1467" w:type="pct"/>
            <w:vAlign w:val="bottom"/>
          </w:tcPr>
          <w:p w:rsidR="0032262B" w:rsidRPr="004537EA" w:rsidRDefault="0032262B" w:rsidP="0032676A">
            <w:pPr>
              <w:pStyle w:val="TableRowNormal"/>
              <w:rPr>
                <w:rFonts w:cstheme="minorHAnsi"/>
              </w:rPr>
            </w:pPr>
            <w:r>
              <w:rPr>
                <w:rFonts w:cstheme="minorHAnsi"/>
              </w:rPr>
              <w:t>78</w:t>
            </w:r>
          </w:p>
        </w:tc>
      </w:tr>
      <w:tr w:rsidR="0032262B" w:rsidRPr="004537EA" w:rsidTr="0032676A">
        <w:tc>
          <w:tcPr>
            <w:tcW w:w="2067" w:type="pct"/>
            <w:vAlign w:val="bottom"/>
          </w:tcPr>
          <w:p w:rsidR="0032262B" w:rsidRPr="004537EA" w:rsidRDefault="0032262B" w:rsidP="0032676A">
            <w:pPr>
              <w:pStyle w:val="CGCTableStub"/>
              <w:ind w:left="193" w:hanging="142"/>
              <w:rPr>
                <w:rFonts w:cstheme="minorHAnsi"/>
              </w:rPr>
            </w:pPr>
            <w:r>
              <w:rPr>
                <w:rFonts w:cstheme="minorHAnsi"/>
              </w:rPr>
              <w:t>General property (other land based taxes)</w:t>
            </w:r>
          </w:p>
        </w:tc>
        <w:tc>
          <w:tcPr>
            <w:tcW w:w="1466" w:type="pct"/>
            <w:tcBorders>
              <w:bottom w:val="single" w:sz="4" w:space="0" w:color="auto"/>
            </w:tcBorders>
            <w:vAlign w:val="bottom"/>
          </w:tcPr>
          <w:p w:rsidR="0032262B" w:rsidRPr="004537EA" w:rsidRDefault="0032262B" w:rsidP="0032676A">
            <w:pPr>
              <w:pStyle w:val="TableRowNormal"/>
              <w:rPr>
                <w:rFonts w:cstheme="minorHAnsi"/>
              </w:rPr>
            </w:pPr>
            <w:r>
              <w:rPr>
                <w:rFonts w:cstheme="minorHAnsi"/>
              </w:rPr>
              <w:t>2 363</w:t>
            </w:r>
          </w:p>
        </w:tc>
        <w:tc>
          <w:tcPr>
            <w:tcW w:w="1467" w:type="pct"/>
            <w:tcBorders>
              <w:bottom w:val="single" w:sz="4" w:space="0" w:color="auto"/>
            </w:tcBorders>
            <w:vAlign w:val="bottom"/>
          </w:tcPr>
          <w:p w:rsidR="0032262B" w:rsidRPr="004537EA" w:rsidRDefault="0032262B" w:rsidP="0032676A">
            <w:pPr>
              <w:pStyle w:val="TableRowNormal"/>
              <w:rPr>
                <w:rFonts w:cstheme="minorHAnsi"/>
              </w:rPr>
            </w:pPr>
            <w:r>
              <w:rPr>
                <w:rFonts w:cstheme="minorHAnsi"/>
              </w:rPr>
              <w:t>22</w:t>
            </w:r>
          </w:p>
        </w:tc>
      </w:tr>
      <w:tr w:rsidR="0032262B" w:rsidRPr="004537EA" w:rsidTr="0032676A">
        <w:tc>
          <w:tcPr>
            <w:tcW w:w="2067" w:type="pct"/>
            <w:tcBorders>
              <w:bottom w:val="single" w:sz="6" w:space="0" w:color="auto"/>
            </w:tcBorders>
            <w:vAlign w:val="bottom"/>
          </w:tcPr>
          <w:p w:rsidR="0032262B" w:rsidRPr="004537EA" w:rsidRDefault="0032262B" w:rsidP="0032676A">
            <w:pPr>
              <w:pStyle w:val="CGCTableStub"/>
              <w:ind w:left="193" w:hanging="142"/>
              <w:rPr>
                <w:rFonts w:cstheme="minorHAnsi"/>
              </w:rPr>
            </w:pPr>
            <w:r>
              <w:rPr>
                <w:rFonts w:cstheme="minorHAnsi"/>
              </w:rPr>
              <w:t>Total</w:t>
            </w:r>
          </w:p>
        </w:tc>
        <w:tc>
          <w:tcPr>
            <w:tcW w:w="1466" w:type="pct"/>
            <w:tcBorders>
              <w:top w:val="single" w:sz="4" w:space="0" w:color="auto"/>
              <w:bottom w:val="single" w:sz="6" w:space="0" w:color="auto"/>
            </w:tcBorders>
            <w:vAlign w:val="bottom"/>
          </w:tcPr>
          <w:p w:rsidR="0032262B" w:rsidRPr="004537EA" w:rsidRDefault="0032262B" w:rsidP="0032676A">
            <w:pPr>
              <w:pStyle w:val="TableRowNormal"/>
              <w:rPr>
                <w:rFonts w:cstheme="minorHAnsi"/>
              </w:rPr>
            </w:pPr>
            <w:r>
              <w:rPr>
                <w:rFonts w:cstheme="minorHAnsi"/>
              </w:rPr>
              <w:t>10 616</w:t>
            </w:r>
          </w:p>
        </w:tc>
        <w:tc>
          <w:tcPr>
            <w:tcW w:w="1467" w:type="pct"/>
            <w:tcBorders>
              <w:top w:val="single" w:sz="4" w:space="0" w:color="auto"/>
              <w:bottom w:val="single" w:sz="6" w:space="0" w:color="auto"/>
            </w:tcBorders>
            <w:vAlign w:val="bottom"/>
          </w:tcPr>
          <w:p w:rsidR="0032262B" w:rsidRPr="004537EA" w:rsidRDefault="0032262B" w:rsidP="0032676A">
            <w:pPr>
              <w:pStyle w:val="TableRowNormal"/>
              <w:rPr>
                <w:rFonts w:cstheme="minorHAnsi"/>
              </w:rPr>
            </w:pPr>
            <w:r>
              <w:rPr>
                <w:rFonts w:cstheme="minorHAnsi"/>
              </w:rPr>
              <w:t>100</w:t>
            </w:r>
          </w:p>
        </w:tc>
      </w:tr>
    </w:tbl>
    <w:p w:rsidR="0032262B" w:rsidRDefault="0032262B" w:rsidP="0032262B">
      <w:pPr>
        <w:pStyle w:val="CGCTableFootnote"/>
      </w:pPr>
      <w:r>
        <w:t>Source:</w:t>
      </w:r>
      <w:r>
        <w:tab/>
        <w:t>Australian Bureau of Statistics, Government Finance Statistics, Cat No 5512.0.</w:t>
      </w:r>
    </w:p>
    <w:p w:rsidR="0032262B" w:rsidRDefault="0032262B" w:rsidP="0032262B">
      <w:pPr>
        <w:pStyle w:val="Heading4"/>
      </w:pPr>
      <w:bookmarkStart w:id="13" w:name="_Toc511824718"/>
      <w:r>
        <w:t>How was revenue capacity assessed?</w:t>
      </w:r>
      <w:bookmarkEnd w:id="13"/>
    </w:p>
    <w:p w:rsidR="0032262B" w:rsidRDefault="0032262B" w:rsidP="0032262B">
      <w:pPr>
        <w:pStyle w:val="CGCNumberedPara"/>
        <w:numPr>
          <w:ilvl w:val="1"/>
          <w:numId w:val="3"/>
        </w:numPr>
      </w:pPr>
      <w:r>
        <w:t>The way States imposed Land tax differed from the way they imposed other land based taxes. The main differences were whether:</w:t>
      </w:r>
    </w:p>
    <w:p w:rsidR="0032262B" w:rsidRDefault="0032262B" w:rsidP="0032262B">
      <w:pPr>
        <w:pStyle w:val="CGCBulletlist"/>
        <w:numPr>
          <w:ilvl w:val="0"/>
          <w:numId w:val="1"/>
        </w:numPr>
        <w:tabs>
          <w:tab w:val="clear" w:pos="927"/>
        </w:tabs>
        <w:ind w:left="1134" w:hanging="567"/>
      </w:pPr>
      <w:r>
        <w:t>certain properties were exempt (for example, principal places of residence)</w:t>
      </w:r>
    </w:p>
    <w:p w:rsidR="0032262B" w:rsidRDefault="0032262B" w:rsidP="0032262B">
      <w:pPr>
        <w:pStyle w:val="CGCBulletlist"/>
        <w:numPr>
          <w:ilvl w:val="0"/>
          <w:numId w:val="1"/>
        </w:numPr>
        <w:tabs>
          <w:tab w:val="clear" w:pos="927"/>
        </w:tabs>
        <w:ind w:left="1134" w:hanging="567"/>
      </w:pPr>
      <w:r>
        <w:t>the value of a land owner’s land holdings was aggregated.</w:t>
      </w:r>
    </w:p>
    <w:p w:rsidR="0032262B" w:rsidRDefault="0032262B" w:rsidP="0032262B">
      <w:pPr>
        <w:pStyle w:val="CGCNumberedPara"/>
        <w:numPr>
          <w:ilvl w:val="1"/>
          <w:numId w:val="3"/>
        </w:numPr>
      </w:pPr>
      <w:r>
        <w:t>These differences were material. Consequently, the Commission developed different capacity measures for each component</w:t>
      </w:r>
      <w:r>
        <w:rPr>
          <w:szCs w:val="22"/>
        </w:rPr>
        <w:t>.</w:t>
      </w:r>
    </w:p>
    <w:p w:rsidR="0032262B" w:rsidRDefault="0032262B" w:rsidP="0032262B">
      <w:pPr>
        <w:pStyle w:val="Heading5"/>
      </w:pPr>
      <w:r>
        <w:t>Income producing property component (Land tax)</w:t>
      </w:r>
    </w:p>
    <w:p w:rsidR="0032262B" w:rsidRPr="003F3CA9" w:rsidRDefault="0032262B" w:rsidP="0032262B">
      <w:pPr>
        <w:pStyle w:val="CGCNumberedPara"/>
        <w:numPr>
          <w:ilvl w:val="1"/>
          <w:numId w:val="3"/>
        </w:numPr>
      </w:pPr>
      <w:r>
        <w:rPr>
          <w:szCs w:val="22"/>
        </w:rPr>
        <w:t xml:space="preserve">States imposed Land tax on residential investment, commercial and industrial land. The tax applied to the </w:t>
      </w:r>
      <w:r>
        <w:t xml:space="preserve">combined </w:t>
      </w:r>
      <w:r>
        <w:rPr>
          <w:szCs w:val="22"/>
        </w:rPr>
        <w:t xml:space="preserve">value of a land owner’s </w:t>
      </w:r>
      <w:r>
        <w:t>taxable land holdings</w:t>
      </w:r>
      <w:r>
        <w:rPr>
          <w:szCs w:val="22"/>
        </w:rPr>
        <w:t>. States generally exempted principal places of residence and land used for primary production, general government</w:t>
      </w:r>
      <w:r>
        <w:rPr>
          <w:rStyle w:val="FootnoteReference"/>
          <w:szCs w:val="22"/>
        </w:rPr>
        <w:footnoteReference w:id="4"/>
      </w:r>
      <w:r>
        <w:rPr>
          <w:szCs w:val="22"/>
        </w:rPr>
        <w:t xml:space="preserve"> and charitable purposes.</w:t>
      </w:r>
      <w:r w:rsidRPr="003F3CA9">
        <w:rPr>
          <w:szCs w:val="22"/>
        </w:rPr>
        <w:t xml:space="preserve"> </w:t>
      </w:r>
      <w:r>
        <w:rPr>
          <w:szCs w:val="22"/>
        </w:rPr>
        <w:t>Some States imposed a foreign owner surcharge.</w:t>
      </w:r>
    </w:p>
    <w:p w:rsidR="0032262B" w:rsidRDefault="0032262B" w:rsidP="0032262B">
      <w:pPr>
        <w:pStyle w:val="CGCNumberedPara"/>
        <w:numPr>
          <w:ilvl w:val="1"/>
          <w:numId w:val="3"/>
        </w:numPr>
      </w:pPr>
      <w:r>
        <w:t xml:space="preserve">Revenue capacity was assessed using </w:t>
      </w:r>
      <w:r>
        <w:rPr>
          <w:szCs w:val="22"/>
        </w:rPr>
        <w:t xml:space="preserve">the </w:t>
      </w:r>
      <w:r>
        <w:t xml:space="preserve">combined </w:t>
      </w:r>
      <w:r>
        <w:rPr>
          <w:szCs w:val="22"/>
        </w:rPr>
        <w:t xml:space="preserve">value of </w:t>
      </w:r>
      <w:r>
        <w:t>taxable land holdings by value range.</w:t>
      </w:r>
      <w:r>
        <w:rPr>
          <w:rStyle w:val="FootnoteReference"/>
        </w:rPr>
        <w:footnoteReference w:id="5"/>
      </w:r>
      <w:r>
        <w:t xml:space="preserve"> These data were provided by State Revenue Offices (SROs). A number of adjustments were made to the data.</w:t>
      </w:r>
    </w:p>
    <w:p w:rsidR="0032262B" w:rsidRDefault="0032262B" w:rsidP="0032262B">
      <w:pPr>
        <w:pStyle w:val="CGCBulletlist"/>
        <w:numPr>
          <w:ilvl w:val="0"/>
          <w:numId w:val="1"/>
        </w:numPr>
        <w:tabs>
          <w:tab w:val="clear" w:pos="927"/>
        </w:tabs>
        <w:ind w:left="1134" w:hanging="567"/>
      </w:pPr>
      <w:r>
        <w:t>The ACT applied its land tax on a per property basis. As it did not aggregate a land owner’s taxable land values, its land values were increased by 2%.</w:t>
      </w:r>
    </w:p>
    <w:p w:rsidR="0032262B" w:rsidRDefault="0032262B" w:rsidP="0032262B">
      <w:pPr>
        <w:pStyle w:val="CGCBulletlist"/>
        <w:numPr>
          <w:ilvl w:val="0"/>
          <w:numId w:val="1"/>
        </w:numPr>
        <w:tabs>
          <w:tab w:val="clear" w:pos="927"/>
        </w:tabs>
        <w:ind w:left="1134" w:hanging="567"/>
      </w:pPr>
      <w:r>
        <w:t>The Northern Territory did not impose land tax and so was unable to provide land value data. Its taxable land values were set equal to 0.6% of the sum of other States.</w:t>
      </w:r>
    </w:p>
    <w:p w:rsidR="0032262B" w:rsidRDefault="0032262B" w:rsidP="0032262B">
      <w:pPr>
        <w:pStyle w:val="CGCBulletlist"/>
        <w:numPr>
          <w:ilvl w:val="0"/>
          <w:numId w:val="1"/>
        </w:numPr>
        <w:tabs>
          <w:tab w:val="clear" w:pos="927"/>
        </w:tabs>
        <w:ind w:left="1134" w:hanging="567"/>
      </w:pPr>
      <w:r>
        <w:t>Taxable land values below $0.3 million were assessed equal per capita because of State concerns about their ability to reliably separate taxable from non</w:t>
      </w:r>
      <w:r>
        <w:noBreakHyphen/>
        <w:t>taxable land at value ranges below their tax free thresholds.</w:t>
      </w:r>
    </w:p>
    <w:p w:rsidR="0032262B" w:rsidRDefault="0032262B" w:rsidP="0032262B">
      <w:pPr>
        <w:pStyle w:val="CGCBulletlist"/>
        <w:numPr>
          <w:ilvl w:val="0"/>
          <w:numId w:val="1"/>
        </w:numPr>
        <w:tabs>
          <w:tab w:val="clear" w:pos="927"/>
        </w:tabs>
        <w:ind w:left="1134" w:hanging="567"/>
      </w:pPr>
      <w:r>
        <w:t>A 25% discount was applied to the assessment because of Commission concerns about the reliability and comparability of SRO data.</w:t>
      </w:r>
      <w:r>
        <w:rPr>
          <w:rStyle w:val="FootnoteReference"/>
        </w:rPr>
        <w:footnoteReference w:id="6"/>
      </w:r>
    </w:p>
    <w:p w:rsidR="0032262B" w:rsidRDefault="0032262B" w:rsidP="0032262B">
      <w:pPr>
        <w:pStyle w:val="CGCNumberedPara"/>
        <w:numPr>
          <w:ilvl w:val="1"/>
          <w:numId w:val="3"/>
        </w:numPr>
      </w:pPr>
      <w:r>
        <w:fldChar w:fldCharType="begin"/>
      </w:r>
      <w:r>
        <w:instrText xml:space="preserve"> REF _Ref498672130 \h </w:instrText>
      </w:r>
      <w:r>
        <w:fldChar w:fldCharType="separate"/>
      </w:r>
      <w:r w:rsidR="002839F7">
        <w:t>Table </w:t>
      </w:r>
      <w:r w:rsidR="002839F7">
        <w:rPr>
          <w:noProof/>
        </w:rPr>
        <w:t>2</w:t>
      </w:r>
      <w:r>
        <w:fldChar w:fldCharType="end"/>
      </w:r>
      <w:r>
        <w:t xml:space="preserve"> shows the derivation of</w:t>
      </w:r>
      <w:r w:rsidRPr="002B3DC6">
        <w:t xml:space="preserve"> </w:t>
      </w:r>
      <w:r>
        <w:t>the component factor for 2016-17. It shows the per capita value of taxable land holdings in New South Wales, Victoria and Western Australia exceeded the average ($54 562 per capita) and so they were assessed to have above average revenue raising capacity in that year.</w:t>
      </w:r>
    </w:p>
    <w:p w:rsidR="0032262B" w:rsidRDefault="0032262B" w:rsidP="0032262B">
      <w:pPr>
        <w:pStyle w:val="CGCTableHeading"/>
      </w:pPr>
      <w:bookmarkStart w:id="14" w:name="_Ref498672130"/>
      <w:r>
        <w:t>Table </w:t>
      </w:r>
      <w:fldSimple w:instr=" SEQ Table \* ARABIC ">
        <w:r w:rsidR="002839F7">
          <w:rPr>
            <w:noProof/>
          </w:rPr>
          <w:t>2</w:t>
        </w:r>
      </w:fldSimple>
      <w:bookmarkEnd w:id="14"/>
      <w:r>
        <w:tab/>
        <w:t>Calculation of component factor, 2016-17</w:t>
      </w:r>
    </w:p>
    <w:tbl>
      <w:tblPr>
        <w:tblW w:w="5000" w:type="pct"/>
        <w:tblLayout w:type="fixed"/>
        <w:tblCellMar>
          <w:left w:w="0" w:type="dxa"/>
          <w:right w:w="0" w:type="dxa"/>
        </w:tblCellMar>
        <w:tblLook w:val="0000" w:firstRow="0" w:lastRow="0" w:firstColumn="0" w:lastColumn="0" w:noHBand="0" w:noVBand="0"/>
      </w:tblPr>
      <w:tblGrid>
        <w:gridCol w:w="1973"/>
        <w:gridCol w:w="455"/>
        <w:gridCol w:w="725"/>
        <w:gridCol w:w="725"/>
        <w:gridCol w:w="725"/>
        <w:gridCol w:w="725"/>
        <w:gridCol w:w="725"/>
        <w:gridCol w:w="725"/>
        <w:gridCol w:w="725"/>
        <w:gridCol w:w="725"/>
        <w:gridCol w:w="723"/>
      </w:tblGrid>
      <w:tr w:rsidR="0032262B" w:rsidRPr="00FE3F73" w:rsidTr="0032676A">
        <w:tc>
          <w:tcPr>
            <w:tcW w:w="1102" w:type="pct"/>
            <w:tcBorders>
              <w:top w:val="single" w:sz="6" w:space="0" w:color="auto"/>
              <w:bottom w:val="single" w:sz="6" w:space="0" w:color="auto"/>
            </w:tcBorders>
            <w:vAlign w:val="center"/>
          </w:tcPr>
          <w:p w:rsidR="0032262B" w:rsidRPr="00FE3F73" w:rsidRDefault="0032262B" w:rsidP="0032676A">
            <w:pPr>
              <w:pStyle w:val="CGCTableStub"/>
              <w:spacing w:line="240" w:lineRule="auto"/>
              <w:ind w:left="193" w:hanging="142"/>
              <w:rPr>
                <w:rFonts w:cstheme="minorHAnsi"/>
              </w:rPr>
            </w:pPr>
          </w:p>
        </w:tc>
        <w:tc>
          <w:tcPr>
            <w:tcW w:w="254" w:type="pct"/>
            <w:tcBorders>
              <w:top w:val="single" w:sz="6" w:space="0" w:color="auto"/>
              <w:bottom w:val="single" w:sz="6" w:space="0" w:color="auto"/>
            </w:tcBorders>
            <w:vAlign w:val="center"/>
          </w:tcPr>
          <w:p w:rsidR="0032262B" w:rsidRPr="00FE3F73" w:rsidRDefault="0032262B" w:rsidP="0032676A">
            <w:pPr>
              <w:pStyle w:val="CGCTableStub"/>
              <w:spacing w:line="240" w:lineRule="auto"/>
              <w:ind w:left="142" w:hanging="142"/>
              <w:jc w:val="center"/>
              <w:rPr>
                <w:rFonts w:cstheme="minorHAnsi"/>
              </w:rPr>
            </w:pPr>
          </w:p>
        </w:tc>
        <w:tc>
          <w:tcPr>
            <w:tcW w:w="405" w:type="pct"/>
            <w:tcBorders>
              <w:top w:val="single" w:sz="6" w:space="0" w:color="auto"/>
              <w:bottom w:val="single" w:sz="6" w:space="0" w:color="auto"/>
            </w:tcBorders>
            <w:vAlign w:val="center"/>
          </w:tcPr>
          <w:p w:rsidR="0032262B" w:rsidRPr="00FE3F73" w:rsidRDefault="0032262B" w:rsidP="0032676A">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center"/>
          </w:tcPr>
          <w:p w:rsidR="0032262B" w:rsidRPr="00FE3F73" w:rsidRDefault="0032262B" w:rsidP="0032676A">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center"/>
          </w:tcPr>
          <w:p w:rsidR="0032262B" w:rsidRPr="00FE3F73" w:rsidRDefault="0032262B" w:rsidP="0032676A">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center"/>
          </w:tcPr>
          <w:p w:rsidR="0032262B" w:rsidRPr="00FE3F73" w:rsidRDefault="0032262B" w:rsidP="0032676A">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center"/>
          </w:tcPr>
          <w:p w:rsidR="0032262B" w:rsidRPr="00FE3F73" w:rsidRDefault="0032262B" w:rsidP="0032676A">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center"/>
          </w:tcPr>
          <w:p w:rsidR="0032262B" w:rsidRPr="00FE3F73" w:rsidRDefault="0032262B" w:rsidP="0032676A">
            <w:pPr>
              <w:pStyle w:val="TableColHeadings"/>
              <w:rPr>
                <w:rFonts w:cstheme="minorHAnsi"/>
              </w:rPr>
            </w:pPr>
            <w:r w:rsidRPr="00FE3F73">
              <w:rPr>
                <w:rFonts w:cstheme="minorHAnsi"/>
              </w:rPr>
              <w:t>Tas</w:t>
            </w:r>
          </w:p>
        </w:tc>
        <w:tc>
          <w:tcPr>
            <w:tcW w:w="405" w:type="pct"/>
            <w:tcBorders>
              <w:top w:val="single" w:sz="6" w:space="0" w:color="auto"/>
              <w:bottom w:val="single" w:sz="6" w:space="0" w:color="auto"/>
            </w:tcBorders>
            <w:vAlign w:val="center"/>
          </w:tcPr>
          <w:p w:rsidR="0032262B" w:rsidRPr="00FE3F73" w:rsidRDefault="0032262B" w:rsidP="0032676A">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center"/>
          </w:tcPr>
          <w:p w:rsidR="0032262B" w:rsidRPr="00FE3F73" w:rsidRDefault="0032262B" w:rsidP="0032676A">
            <w:pPr>
              <w:pStyle w:val="TableColHeadings"/>
              <w:rPr>
                <w:rFonts w:cstheme="minorHAnsi"/>
              </w:rPr>
            </w:pPr>
            <w:r w:rsidRPr="00FE3F73">
              <w:rPr>
                <w:rFonts w:cstheme="minorHAnsi"/>
              </w:rPr>
              <w:t>NT</w:t>
            </w:r>
          </w:p>
        </w:tc>
        <w:tc>
          <w:tcPr>
            <w:tcW w:w="404" w:type="pct"/>
            <w:tcBorders>
              <w:top w:val="single" w:sz="6" w:space="0" w:color="auto"/>
              <w:bottom w:val="single" w:sz="6" w:space="0" w:color="auto"/>
            </w:tcBorders>
            <w:vAlign w:val="center"/>
          </w:tcPr>
          <w:p w:rsidR="0032262B" w:rsidRPr="00FE3F73" w:rsidRDefault="0032262B" w:rsidP="0032676A">
            <w:pPr>
              <w:pStyle w:val="TableColHeadings"/>
              <w:rPr>
                <w:rFonts w:cstheme="minorHAnsi"/>
              </w:rPr>
            </w:pPr>
            <w:r>
              <w:rPr>
                <w:rFonts w:cstheme="minorHAnsi"/>
              </w:rPr>
              <w:t>Total</w:t>
            </w:r>
          </w:p>
        </w:tc>
      </w:tr>
      <w:tr w:rsidR="0032262B" w:rsidRPr="00FE3F73" w:rsidTr="0032676A">
        <w:tc>
          <w:tcPr>
            <w:tcW w:w="1102" w:type="pct"/>
            <w:tcMar>
              <w:top w:w="0" w:type="dxa"/>
              <w:bottom w:w="0" w:type="dxa"/>
            </w:tcMar>
            <w:vAlign w:val="bottom"/>
          </w:tcPr>
          <w:p w:rsidR="0032262B" w:rsidRPr="00FE3F73" w:rsidRDefault="0032262B" w:rsidP="0032676A">
            <w:pPr>
              <w:pStyle w:val="CGCTableStub"/>
              <w:spacing w:before="0" w:after="0" w:line="240" w:lineRule="auto"/>
              <w:ind w:left="193" w:hanging="142"/>
              <w:jc w:val="right"/>
              <w:rPr>
                <w:rFonts w:cstheme="minorHAnsi"/>
              </w:rPr>
            </w:pPr>
          </w:p>
        </w:tc>
        <w:tc>
          <w:tcPr>
            <w:tcW w:w="254" w:type="pct"/>
            <w:vAlign w:val="bottom"/>
          </w:tcPr>
          <w:p w:rsidR="0032262B" w:rsidRPr="00FE3F73" w:rsidRDefault="0032262B" w:rsidP="0032676A">
            <w:pPr>
              <w:pStyle w:val="CGCTableStub"/>
              <w:spacing w:before="0" w:after="0" w:line="240" w:lineRule="auto"/>
              <w:jc w:val="center"/>
              <w:rPr>
                <w:rFonts w:cstheme="minorHAnsi"/>
              </w:rPr>
            </w:pP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p>
        </w:tc>
        <w:tc>
          <w:tcPr>
            <w:tcW w:w="404"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p>
        </w:tc>
      </w:tr>
      <w:tr w:rsidR="0032262B" w:rsidRPr="00FE3F73" w:rsidTr="0032676A">
        <w:tc>
          <w:tcPr>
            <w:tcW w:w="1102" w:type="pct"/>
            <w:vAlign w:val="bottom"/>
          </w:tcPr>
          <w:p w:rsidR="0032262B" w:rsidRPr="00FE3F73" w:rsidRDefault="0032262B" w:rsidP="0032676A">
            <w:pPr>
              <w:pStyle w:val="CGCTableStub"/>
              <w:tabs>
                <w:tab w:val="left" w:pos="142"/>
                <w:tab w:val="left" w:pos="425"/>
                <w:tab w:val="left" w:pos="709"/>
                <w:tab w:val="left" w:pos="851"/>
              </w:tabs>
              <w:ind w:left="193" w:hanging="142"/>
              <w:rPr>
                <w:rFonts w:cstheme="minorHAnsi"/>
              </w:rPr>
            </w:pPr>
            <w:r>
              <w:rPr>
                <w:rFonts w:cstheme="minorHAnsi"/>
              </w:rPr>
              <w:t>Value of taxable land holdings</w:t>
            </w:r>
          </w:p>
        </w:tc>
        <w:tc>
          <w:tcPr>
            <w:tcW w:w="254" w:type="pct"/>
            <w:vAlign w:val="bottom"/>
          </w:tcPr>
          <w:p w:rsidR="0032262B" w:rsidRPr="00FE3F73" w:rsidRDefault="0032262B" w:rsidP="0032676A">
            <w:pPr>
              <w:pStyle w:val="CGCTableStub"/>
              <w:tabs>
                <w:tab w:val="left" w:pos="142"/>
                <w:tab w:val="left" w:pos="425"/>
                <w:tab w:val="left" w:pos="709"/>
                <w:tab w:val="left" w:pos="851"/>
              </w:tabs>
              <w:ind w:left="142" w:hanging="142"/>
              <w:jc w:val="center"/>
              <w:rPr>
                <w:rFonts w:cstheme="minorHAnsi"/>
              </w:rPr>
            </w:pPr>
            <w:r>
              <w:rPr>
                <w:rFonts w:cstheme="minorHAnsi"/>
              </w:rPr>
              <w:t>$b</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558</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407</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167</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144</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32</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7</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8</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8</w:t>
            </w:r>
          </w:p>
        </w:tc>
        <w:tc>
          <w:tcPr>
            <w:tcW w:w="404" w:type="pct"/>
            <w:vAlign w:val="bottom"/>
          </w:tcPr>
          <w:p w:rsidR="0032262B" w:rsidRPr="009C6854" w:rsidRDefault="0032262B" w:rsidP="0032676A">
            <w:pPr>
              <w:pStyle w:val="TableRowNormal"/>
              <w:ind w:left="0" w:firstLine="0"/>
              <w:rPr>
                <w:rFonts w:cstheme="minorHAnsi"/>
              </w:rPr>
            </w:pPr>
            <w:r w:rsidRPr="009C6854">
              <w:rPr>
                <w:rFonts w:cstheme="minorHAnsi"/>
              </w:rPr>
              <w:t>1 330</w:t>
            </w:r>
          </w:p>
        </w:tc>
      </w:tr>
      <w:tr w:rsidR="0032262B" w:rsidRPr="00FE3F73" w:rsidTr="0032676A">
        <w:tc>
          <w:tcPr>
            <w:tcW w:w="1102" w:type="pct"/>
            <w:vAlign w:val="bottom"/>
          </w:tcPr>
          <w:p w:rsidR="0032262B" w:rsidRPr="00FE3F73" w:rsidRDefault="0032262B" w:rsidP="0032676A">
            <w:pPr>
              <w:pStyle w:val="CGCTableStub"/>
              <w:tabs>
                <w:tab w:val="left" w:pos="142"/>
                <w:tab w:val="left" w:pos="425"/>
                <w:tab w:val="left" w:pos="709"/>
                <w:tab w:val="left" w:pos="851"/>
              </w:tabs>
              <w:ind w:left="193" w:hanging="142"/>
              <w:rPr>
                <w:rFonts w:cstheme="minorHAnsi"/>
              </w:rPr>
            </w:pPr>
            <w:r>
              <w:rPr>
                <w:rFonts w:cstheme="minorHAnsi"/>
              </w:rPr>
              <w:t>Value of taxable land holdings per capita</w:t>
            </w:r>
          </w:p>
        </w:tc>
        <w:tc>
          <w:tcPr>
            <w:tcW w:w="254" w:type="pct"/>
            <w:vAlign w:val="bottom"/>
          </w:tcPr>
          <w:p w:rsidR="0032262B" w:rsidRPr="00FE3F73" w:rsidRDefault="0032262B" w:rsidP="0032676A">
            <w:pPr>
              <w:pStyle w:val="CGCTableStub"/>
              <w:tabs>
                <w:tab w:val="left" w:pos="142"/>
                <w:tab w:val="left" w:pos="425"/>
                <w:tab w:val="left" w:pos="709"/>
                <w:tab w:val="left" w:pos="851"/>
              </w:tabs>
              <w:ind w:left="142" w:hanging="142"/>
              <w:jc w:val="center"/>
              <w:rPr>
                <w:rFonts w:cstheme="minorHAnsi"/>
              </w:rPr>
            </w:pPr>
            <w:r>
              <w:rPr>
                <w:rFonts w:cstheme="minorHAnsi"/>
              </w:rPr>
              <w:t>$pc</w:t>
            </w:r>
          </w:p>
        </w:tc>
        <w:tc>
          <w:tcPr>
            <w:tcW w:w="405" w:type="pct"/>
            <w:vAlign w:val="bottom"/>
          </w:tcPr>
          <w:p w:rsidR="0032262B" w:rsidRPr="00967624" w:rsidRDefault="0032262B" w:rsidP="0032676A">
            <w:pPr>
              <w:pStyle w:val="TableRowNormal"/>
              <w:ind w:left="0" w:firstLine="0"/>
              <w:rPr>
                <w:rFonts w:cstheme="minorHAnsi"/>
              </w:rPr>
            </w:pPr>
            <w:r w:rsidRPr="00967624">
              <w:rPr>
                <w:rFonts w:cstheme="minorHAnsi"/>
              </w:rPr>
              <w:t>71</w:t>
            </w:r>
            <w:r>
              <w:rPr>
                <w:rFonts w:cstheme="minorHAnsi"/>
              </w:rPr>
              <w:t xml:space="preserve"> </w:t>
            </w:r>
            <w:r w:rsidRPr="00967624">
              <w:rPr>
                <w:rFonts w:cstheme="minorHAnsi"/>
              </w:rPr>
              <w:t>578</w:t>
            </w:r>
          </w:p>
        </w:tc>
        <w:tc>
          <w:tcPr>
            <w:tcW w:w="405" w:type="pct"/>
            <w:vAlign w:val="bottom"/>
          </w:tcPr>
          <w:p w:rsidR="0032262B" w:rsidRPr="00967624" w:rsidRDefault="0032262B" w:rsidP="0032676A">
            <w:pPr>
              <w:pStyle w:val="TableRowNormal"/>
              <w:ind w:left="0" w:firstLine="0"/>
              <w:rPr>
                <w:rFonts w:cstheme="minorHAnsi"/>
              </w:rPr>
            </w:pPr>
            <w:r w:rsidRPr="00967624">
              <w:rPr>
                <w:rFonts w:cstheme="minorHAnsi"/>
              </w:rPr>
              <w:t>65</w:t>
            </w:r>
            <w:r>
              <w:rPr>
                <w:rFonts w:cstheme="minorHAnsi"/>
              </w:rPr>
              <w:t xml:space="preserve"> </w:t>
            </w:r>
            <w:r w:rsidRPr="00967624">
              <w:rPr>
                <w:rFonts w:cstheme="minorHAnsi"/>
              </w:rPr>
              <w:t>118</w:t>
            </w:r>
          </w:p>
        </w:tc>
        <w:tc>
          <w:tcPr>
            <w:tcW w:w="405" w:type="pct"/>
            <w:vAlign w:val="bottom"/>
          </w:tcPr>
          <w:p w:rsidR="0032262B" w:rsidRPr="00967624" w:rsidRDefault="0032262B" w:rsidP="0032676A">
            <w:pPr>
              <w:pStyle w:val="TableRowNormal"/>
              <w:ind w:left="0" w:firstLine="0"/>
              <w:rPr>
                <w:rFonts w:cstheme="minorHAnsi"/>
              </w:rPr>
            </w:pPr>
            <w:r w:rsidRPr="00967624">
              <w:rPr>
                <w:rFonts w:cstheme="minorHAnsi"/>
              </w:rPr>
              <w:t>34</w:t>
            </w:r>
            <w:r>
              <w:rPr>
                <w:rFonts w:cstheme="minorHAnsi"/>
              </w:rPr>
              <w:t xml:space="preserve"> </w:t>
            </w:r>
            <w:r w:rsidRPr="00967624">
              <w:rPr>
                <w:rFonts w:cstheme="minorHAnsi"/>
              </w:rPr>
              <w:t>231</w:t>
            </w:r>
          </w:p>
        </w:tc>
        <w:tc>
          <w:tcPr>
            <w:tcW w:w="405" w:type="pct"/>
            <w:vAlign w:val="bottom"/>
          </w:tcPr>
          <w:p w:rsidR="0032262B" w:rsidRPr="00967624" w:rsidRDefault="0032262B" w:rsidP="0032676A">
            <w:pPr>
              <w:pStyle w:val="TableRowNormal"/>
              <w:ind w:left="0" w:firstLine="0"/>
              <w:rPr>
                <w:rFonts w:cstheme="minorHAnsi"/>
              </w:rPr>
            </w:pPr>
            <w:r w:rsidRPr="00967624">
              <w:rPr>
                <w:rFonts w:cstheme="minorHAnsi"/>
              </w:rPr>
              <w:t>56</w:t>
            </w:r>
            <w:r>
              <w:rPr>
                <w:rFonts w:cstheme="minorHAnsi"/>
              </w:rPr>
              <w:t xml:space="preserve"> </w:t>
            </w:r>
            <w:r w:rsidRPr="00967624">
              <w:rPr>
                <w:rFonts w:cstheme="minorHAnsi"/>
              </w:rPr>
              <w:t>057</w:t>
            </w:r>
          </w:p>
        </w:tc>
        <w:tc>
          <w:tcPr>
            <w:tcW w:w="405" w:type="pct"/>
            <w:vAlign w:val="bottom"/>
          </w:tcPr>
          <w:p w:rsidR="0032262B" w:rsidRPr="00967624" w:rsidRDefault="0032262B" w:rsidP="0032676A">
            <w:pPr>
              <w:pStyle w:val="TableRowNormal"/>
              <w:ind w:left="0" w:firstLine="0"/>
              <w:rPr>
                <w:rFonts w:cstheme="minorHAnsi"/>
              </w:rPr>
            </w:pPr>
            <w:r w:rsidRPr="00967624">
              <w:rPr>
                <w:rFonts w:cstheme="minorHAnsi"/>
              </w:rPr>
              <w:t>18</w:t>
            </w:r>
            <w:r>
              <w:rPr>
                <w:rFonts w:cstheme="minorHAnsi"/>
              </w:rPr>
              <w:t xml:space="preserve"> </w:t>
            </w:r>
            <w:r w:rsidRPr="00967624">
              <w:rPr>
                <w:rFonts w:cstheme="minorHAnsi"/>
              </w:rPr>
              <w:t>484</w:t>
            </w:r>
          </w:p>
        </w:tc>
        <w:tc>
          <w:tcPr>
            <w:tcW w:w="405" w:type="pct"/>
            <w:vAlign w:val="bottom"/>
          </w:tcPr>
          <w:p w:rsidR="0032262B" w:rsidRPr="00967624" w:rsidRDefault="0032262B" w:rsidP="0032676A">
            <w:pPr>
              <w:pStyle w:val="TableRowNormal"/>
              <w:ind w:left="0" w:firstLine="0"/>
              <w:rPr>
                <w:rFonts w:cstheme="minorHAnsi"/>
              </w:rPr>
            </w:pPr>
            <w:r w:rsidRPr="00967624">
              <w:rPr>
                <w:rFonts w:cstheme="minorHAnsi"/>
              </w:rPr>
              <w:t>13</w:t>
            </w:r>
            <w:r>
              <w:rPr>
                <w:rFonts w:cstheme="minorHAnsi"/>
              </w:rPr>
              <w:t xml:space="preserve"> </w:t>
            </w:r>
            <w:r w:rsidRPr="00967624">
              <w:rPr>
                <w:rFonts w:cstheme="minorHAnsi"/>
              </w:rPr>
              <w:t>763</w:t>
            </w:r>
          </w:p>
        </w:tc>
        <w:tc>
          <w:tcPr>
            <w:tcW w:w="405" w:type="pct"/>
            <w:vAlign w:val="bottom"/>
          </w:tcPr>
          <w:p w:rsidR="0032262B" w:rsidRPr="00967624" w:rsidRDefault="0032262B" w:rsidP="0032676A">
            <w:pPr>
              <w:pStyle w:val="TableRowNormal"/>
              <w:ind w:left="0" w:firstLine="0"/>
              <w:rPr>
                <w:rFonts w:cstheme="minorHAnsi"/>
              </w:rPr>
            </w:pPr>
            <w:r w:rsidRPr="00967624">
              <w:rPr>
                <w:rFonts w:cstheme="minorHAnsi"/>
              </w:rPr>
              <w:t>18</w:t>
            </w:r>
            <w:r>
              <w:rPr>
                <w:rFonts w:cstheme="minorHAnsi"/>
              </w:rPr>
              <w:t xml:space="preserve"> </w:t>
            </w:r>
            <w:r w:rsidRPr="00967624">
              <w:rPr>
                <w:rFonts w:cstheme="minorHAnsi"/>
              </w:rPr>
              <w:t>597</w:t>
            </w:r>
          </w:p>
        </w:tc>
        <w:tc>
          <w:tcPr>
            <w:tcW w:w="405" w:type="pct"/>
            <w:vAlign w:val="bottom"/>
          </w:tcPr>
          <w:p w:rsidR="0032262B" w:rsidRPr="00967624" w:rsidRDefault="0032262B" w:rsidP="0032676A">
            <w:pPr>
              <w:pStyle w:val="TableRowNormal"/>
              <w:ind w:left="0" w:firstLine="0"/>
              <w:rPr>
                <w:rFonts w:cstheme="minorHAnsi"/>
              </w:rPr>
            </w:pPr>
            <w:r w:rsidRPr="00967624">
              <w:rPr>
                <w:rFonts w:cstheme="minorHAnsi"/>
              </w:rPr>
              <w:t>32</w:t>
            </w:r>
            <w:r>
              <w:rPr>
                <w:rFonts w:cstheme="minorHAnsi"/>
              </w:rPr>
              <w:t xml:space="preserve"> </w:t>
            </w:r>
            <w:r w:rsidRPr="00967624">
              <w:rPr>
                <w:rFonts w:cstheme="minorHAnsi"/>
              </w:rPr>
              <w:t>440</w:t>
            </w:r>
          </w:p>
        </w:tc>
        <w:tc>
          <w:tcPr>
            <w:tcW w:w="404" w:type="pct"/>
            <w:vAlign w:val="bottom"/>
          </w:tcPr>
          <w:p w:rsidR="0032262B" w:rsidRPr="00967624" w:rsidRDefault="0032262B" w:rsidP="0032676A">
            <w:pPr>
              <w:pStyle w:val="TableRowNormal"/>
              <w:ind w:left="0" w:firstLine="0"/>
              <w:rPr>
                <w:rFonts w:cstheme="minorHAnsi"/>
              </w:rPr>
            </w:pPr>
            <w:r w:rsidRPr="00967624">
              <w:rPr>
                <w:rFonts w:cstheme="minorHAnsi"/>
              </w:rPr>
              <w:t>54</w:t>
            </w:r>
            <w:r>
              <w:rPr>
                <w:rFonts w:cstheme="minorHAnsi"/>
              </w:rPr>
              <w:t xml:space="preserve"> </w:t>
            </w:r>
            <w:r w:rsidRPr="00967624">
              <w:rPr>
                <w:rFonts w:cstheme="minorHAnsi"/>
              </w:rPr>
              <w:t>562</w:t>
            </w:r>
          </w:p>
        </w:tc>
      </w:tr>
      <w:tr w:rsidR="0032262B" w:rsidRPr="00FE3F73" w:rsidTr="0032676A">
        <w:tc>
          <w:tcPr>
            <w:tcW w:w="1102" w:type="pct"/>
            <w:vAlign w:val="bottom"/>
          </w:tcPr>
          <w:p w:rsidR="0032262B" w:rsidRPr="00FE3F73" w:rsidRDefault="0032262B" w:rsidP="0032676A">
            <w:pPr>
              <w:pStyle w:val="CGCTableStub"/>
              <w:tabs>
                <w:tab w:val="left" w:pos="142"/>
                <w:tab w:val="left" w:pos="425"/>
                <w:tab w:val="left" w:pos="709"/>
                <w:tab w:val="left" w:pos="851"/>
              </w:tabs>
              <w:ind w:left="193" w:hanging="142"/>
              <w:rPr>
                <w:rFonts w:cstheme="minorHAnsi"/>
              </w:rPr>
            </w:pPr>
            <w:r>
              <w:rPr>
                <w:rFonts w:cstheme="minorHAnsi"/>
              </w:rPr>
              <w:t>Raw factor (a)</w:t>
            </w:r>
          </w:p>
        </w:tc>
        <w:tc>
          <w:tcPr>
            <w:tcW w:w="254" w:type="pct"/>
            <w:vAlign w:val="bottom"/>
          </w:tcPr>
          <w:p w:rsidR="0032262B" w:rsidRPr="00FE3F73" w:rsidRDefault="0032262B" w:rsidP="0032676A">
            <w:pPr>
              <w:pStyle w:val="CGCTableStub"/>
              <w:tabs>
                <w:tab w:val="left" w:pos="142"/>
                <w:tab w:val="left" w:pos="425"/>
                <w:tab w:val="left" w:pos="709"/>
                <w:tab w:val="left" w:pos="851"/>
              </w:tabs>
              <w:ind w:left="142" w:hanging="142"/>
              <w:jc w:val="center"/>
              <w:rPr>
                <w:rFonts w:cstheme="minorHAnsi"/>
              </w:rPr>
            </w:pP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1.312</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1.193</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0.627</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1.027</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0.339</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0.252</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0.341</w:t>
            </w:r>
          </w:p>
        </w:tc>
        <w:tc>
          <w:tcPr>
            <w:tcW w:w="405" w:type="pct"/>
            <w:vAlign w:val="bottom"/>
          </w:tcPr>
          <w:p w:rsidR="0032262B" w:rsidRPr="009C6854" w:rsidRDefault="0032262B" w:rsidP="0032676A">
            <w:pPr>
              <w:pStyle w:val="TableRowNormal"/>
              <w:ind w:left="0" w:firstLine="0"/>
              <w:rPr>
                <w:rFonts w:cstheme="minorHAnsi"/>
              </w:rPr>
            </w:pPr>
            <w:r w:rsidRPr="009C6854">
              <w:rPr>
                <w:rFonts w:cstheme="minorHAnsi"/>
              </w:rPr>
              <w:t>0.595</w:t>
            </w:r>
          </w:p>
        </w:tc>
        <w:tc>
          <w:tcPr>
            <w:tcW w:w="404" w:type="pct"/>
            <w:vAlign w:val="bottom"/>
          </w:tcPr>
          <w:p w:rsidR="0032262B" w:rsidRPr="009C6854" w:rsidRDefault="0032262B" w:rsidP="0032676A">
            <w:pPr>
              <w:pStyle w:val="TableRowNormal"/>
              <w:ind w:left="0" w:firstLine="0"/>
              <w:rPr>
                <w:rFonts w:cstheme="minorHAnsi"/>
              </w:rPr>
            </w:pPr>
            <w:r w:rsidRPr="009C6854">
              <w:rPr>
                <w:rFonts w:cstheme="minorHAnsi"/>
              </w:rPr>
              <w:t>1.000</w:t>
            </w:r>
          </w:p>
        </w:tc>
      </w:tr>
      <w:tr w:rsidR="0032262B" w:rsidRPr="00FE3F73" w:rsidTr="0032676A">
        <w:tc>
          <w:tcPr>
            <w:tcW w:w="1102" w:type="pct"/>
            <w:tcBorders>
              <w:bottom w:val="single" w:sz="4" w:space="0" w:color="auto"/>
            </w:tcBorders>
            <w:vAlign w:val="bottom"/>
          </w:tcPr>
          <w:p w:rsidR="0032262B" w:rsidRPr="00FE3F73" w:rsidRDefault="0032262B" w:rsidP="0032676A">
            <w:pPr>
              <w:pStyle w:val="CGCTableStub"/>
              <w:tabs>
                <w:tab w:val="left" w:pos="142"/>
                <w:tab w:val="left" w:pos="425"/>
                <w:tab w:val="left" w:pos="709"/>
                <w:tab w:val="left" w:pos="851"/>
              </w:tabs>
              <w:ind w:left="193" w:hanging="142"/>
              <w:rPr>
                <w:rFonts w:cstheme="minorHAnsi"/>
              </w:rPr>
            </w:pPr>
            <w:r>
              <w:rPr>
                <w:rFonts w:cstheme="minorHAnsi"/>
              </w:rPr>
              <w:t>Component factor (b)</w:t>
            </w:r>
          </w:p>
        </w:tc>
        <w:tc>
          <w:tcPr>
            <w:tcW w:w="254" w:type="pct"/>
            <w:tcBorders>
              <w:bottom w:val="single" w:sz="4" w:space="0" w:color="auto"/>
            </w:tcBorders>
            <w:vAlign w:val="bottom"/>
          </w:tcPr>
          <w:p w:rsidR="0032262B" w:rsidRPr="00FE3F73" w:rsidRDefault="0032262B" w:rsidP="0032676A">
            <w:pPr>
              <w:pStyle w:val="CGCTableStub"/>
              <w:tabs>
                <w:tab w:val="left" w:pos="142"/>
                <w:tab w:val="left" w:pos="425"/>
                <w:tab w:val="left" w:pos="709"/>
                <w:tab w:val="left" w:pos="851"/>
              </w:tabs>
              <w:ind w:left="142" w:hanging="142"/>
              <w:jc w:val="center"/>
              <w:rPr>
                <w:rFonts w:cstheme="minorHAnsi"/>
              </w:rPr>
            </w:pPr>
          </w:p>
        </w:tc>
        <w:tc>
          <w:tcPr>
            <w:tcW w:w="405" w:type="pct"/>
            <w:tcBorders>
              <w:bottom w:val="single" w:sz="4" w:space="0" w:color="auto"/>
            </w:tcBorders>
            <w:vAlign w:val="bottom"/>
          </w:tcPr>
          <w:p w:rsidR="0032262B" w:rsidRPr="009C6854" w:rsidRDefault="0032262B" w:rsidP="0032676A">
            <w:pPr>
              <w:pStyle w:val="TableRowNormal"/>
              <w:ind w:left="0" w:firstLine="0"/>
              <w:rPr>
                <w:rFonts w:cstheme="minorHAnsi"/>
              </w:rPr>
            </w:pPr>
            <w:r w:rsidRPr="009C6854">
              <w:rPr>
                <w:rFonts w:cstheme="minorHAnsi"/>
              </w:rPr>
              <w:t>1.234</w:t>
            </w:r>
          </w:p>
        </w:tc>
        <w:tc>
          <w:tcPr>
            <w:tcW w:w="405" w:type="pct"/>
            <w:tcBorders>
              <w:bottom w:val="single" w:sz="4" w:space="0" w:color="auto"/>
            </w:tcBorders>
            <w:vAlign w:val="bottom"/>
          </w:tcPr>
          <w:p w:rsidR="0032262B" w:rsidRPr="009C6854" w:rsidRDefault="0032262B" w:rsidP="0032676A">
            <w:pPr>
              <w:pStyle w:val="TableRowNormal"/>
              <w:ind w:left="0" w:firstLine="0"/>
              <w:rPr>
                <w:rFonts w:cstheme="minorHAnsi"/>
              </w:rPr>
            </w:pPr>
            <w:r w:rsidRPr="009C6854">
              <w:rPr>
                <w:rFonts w:cstheme="minorHAnsi"/>
              </w:rPr>
              <w:t>1.145</w:t>
            </w:r>
          </w:p>
        </w:tc>
        <w:tc>
          <w:tcPr>
            <w:tcW w:w="405" w:type="pct"/>
            <w:tcBorders>
              <w:bottom w:val="single" w:sz="4" w:space="0" w:color="auto"/>
            </w:tcBorders>
            <w:vAlign w:val="bottom"/>
          </w:tcPr>
          <w:p w:rsidR="0032262B" w:rsidRPr="009C6854" w:rsidRDefault="0032262B" w:rsidP="0032676A">
            <w:pPr>
              <w:pStyle w:val="TableRowNormal"/>
              <w:ind w:left="0" w:firstLine="0"/>
              <w:rPr>
                <w:rFonts w:cstheme="minorHAnsi"/>
              </w:rPr>
            </w:pPr>
            <w:r w:rsidRPr="009C6854">
              <w:rPr>
                <w:rFonts w:cstheme="minorHAnsi"/>
              </w:rPr>
              <w:t>0.721</w:t>
            </w:r>
          </w:p>
        </w:tc>
        <w:tc>
          <w:tcPr>
            <w:tcW w:w="405" w:type="pct"/>
            <w:tcBorders>
              <w:bottom w:val="single" w:sz="4" w:space="0" w:color="auto"/>
            </w:tcBorders>
            <w:vAlign w:val="bottom"/>
          </w:tcPr>
          <w:p w:rsidR="0032262B" w:rsidRPr="009C6854" w:rsidRDefault="0032262B" w:rsidP="0032676A">
            <w:pPr>
              <w:pStyle w:val="TableRowNormal"/>
              <w:ind w:left="0" w:firstLine="0"/>
              <w:rPr>
                <w:rFonts w:cstheme="minorHAnsi"/>
              </w:rPr>
            </w:pPr>
            <w:r w:rsidRPr="009C6854">
              <w:rPr>
                <w:rFonts w:cstheme="minorHAnsi"/>
              </w:rPr>
              <w:t>1.021</w:t>
            </w:r>
          </w:p>
        </w:tc>
        <w:tc>
          <w:tcPr>
            <w:tcW w:w="405" w:type="pct"/>
            <w:tcBorders>
              <w:bottom w:val="single" w:sz="4" w:space="0" w:color="auto"/>
            </w:tcBorders>
            <w:vAlign w:val="bottom"/>
          </w:tcPr>
          <w:p w:rsidR="0032262B" w:rsidRPr="009C6854" w:rsidRDefault="0032262B" w:rsidP="0032676A">
            <w:pPr>
              <w:pStyle w:val="TableRowNormal"/>
              <w:ind w:left="0" w:firstLine="0"/>
              <w:rPr>
                <w:rFonts w:cstheme="minorHAnsi"/>
              </w:rPr>
            </w:pPr>
            <w:r w:rsidRPr="009C6854">
              <w:rPr>
                <w:rFonts w:cstheme="minorHAnsi"/>
              </w:rPr>
              <w:t>0.504</w:t>
            </w:r>
          </w:p>
        </w:tc>
        <w:tc>
          <w:tcPr>
            <w:tcW w:w="405" w:type="pct"/>
            <w:tcBorders>
              <w:bottom w:val="single" w:sz="4" w:space="0" w:color="auto"/>
            </w:tcBorders>
            <w:vAlign w:val="bottom"/>
          </w:tcPr>
          <w:p w:rsidR="0032262B" w:rsidRPr="009C6854" w:rsidRDefault="0032262B" w:rsidP="0032676A">
            <w:pPr>
              <w:pStyle w:val="TableRowNormal"/>
              <w:ind w:left="0" w:firstLine="0"/>
              <w:rPr>
                <w:rFonts w:cstheme="minorHAnsi"/>
              </w:rPr>
            </w:pPr>
            <w:r w:rsidRPr="009C6854">
              <w:rPr>
                <w:rFonts w:cstheme="minorHAnsi"/>
              </w:rPr>
              <w:t>0.439</w:t>
            </w:r>
          </w:p>
        </w:tc>
        <w:tc>
          <w:tcPr>
            <w:tcW w:w="405" w:type="pct"/>
            <w:tcBorders>
              <w:bottom w:val="single" w:sz="4" w:space="0" w:color="auto"/>
            </w:tcBorders>
            <w:vAlign w:val="bottom"/>
          </w:tcPr>
          <w:p w:rsidR="0032262B" w:rsidRPr="009C6854" w:rsidRDefault="0032262B" w:rsidP="0032676A">
            <w:pPr>
              <w:pStyle w:val="TableRowNormal"/>
              <w:ind w:left="0" w:firstLine="0"/>
              <w:rPr>
                <w:rFonts w:cstheme="minorHAnsi"/>
              </w:rPr>
            </w:pPr>
            <w:r w:rsidRPr="009C6854">
              <w:rPr>
                <w:rFonts w:cstheme="minorHAnsi"/>
              </w:rPr>
              <w:t>0.506</w:t>
            </w:r>
          </w:p>
        </w:tc>
        <w:tc>
          <w:tcPr>
            <w:tcW w:w="405" w:type="pct"/>
            <w:tcBorders>
              <w:bottom w:val="single" w:sz="4" w:space="0" w:color="auto"/>
            </w:tcBorders>
            <w:vAlign w:val="bottom"/>
          </w:tcPr>
          <w:p w:rsidR="0032262B" w:rsidRPr="009C6854" w:rsidRDefault="0032262B" w:rsidP="0032676A">
            <w:pPr>
              <w:pStyle w:val="TableRowNormal"/>
              <w:ind w:left="0" w:firstLine="0"/>
              <w:rPr>
                <w:rFonts w:cstheme="minorHAnsi"/>
              </w:rPr>
            </w:pPr>
            <w:r w:rsidRPr="009C6854">
              <w:rPr>
                <w:rFonts w:cstheme="minorHAnsi"/>
              </w:rPr>
              <w:t>0.696</w:t>
            </w:r>
          </w:p>
        </w:tc>
        <w:tc>
          <w:tcPr>
            <w:tcW w:w="404" w:type="pct"/>
            <w:tcBorders>
              <w:bottom w:val="single" w:sz="4" w:space="0" w:color="auto"/>
            </w:tcBorders>
            <w:vAlign w:val="bottom"/>
          </w:tcPr>
          <w:p w:rsidR="0032262B" w:rsidRPr="009C6854" w:rsidRDefault="0032262B" w:rsidP="0032676A">
            <w:pPr>
              <w:pStyle w:val="TableRowNormal"/>
              <w:ind w:left="0" w:firstLine="0"/>
              <w:rPr>
                <w:rFonts w:cstheme="minorHAnsi"/>
              </w:rPr>
            </w:pPr>
            <w:r w:rsidRPr="009C6854">
              <w:rPr>
                <w:rFonts w:cstheme="minorHAnsi"/>
              </w:rPr>
              <w:t>1.000</w:t>
            </w:r>
          </w:p>
        </w:tc>
      </w:tr>
    </w:tbl>
    <w:p w:rsidR="0032262B" w:rsidRDefault="0032262B" w:rsidP="0032262B">
      <w:pPr>
        <w:pStyle w:val="CGCTableFootnote"/>
      </w:pPr>
      <w:r>
        <w:t>(a)</w:t>
      </w:r>
      <w:r>
        <w:tab/>
        <w:t>A State’s raw factor is its per capita value of taxable land holdings divided by the average per capita value of taxable land holdings.</w:t>
      </w:r>
    </w:p>
    <w:p w:rsidR="0032262B" w:rsidRDefault="0032262B" w:rsidP="0032262B">
      <w:pPr>
        <w:pStyle w:val="CGCTableFootnote"/>
      </w:pPr>
      <w:r>
        <w:t>(b)</w:t>
      </w:r>
      <w:r>
        <w:tab/>
        <w:t>The Commission applied a 25% discount to the assessment. Thus, the component factor was the average of the raw factor (with a 75% weight) and an EPC factor (with a 25% weight).</w:t>
      </w:r>
    </w:p>
    <w:p w:rsidR="0032262B" w:rsidRDefault="0032262B" w:rsidP="0032262B">
      <w:pPr>
        <w:pStyle w:val="CGCTableFootnote"/>
      </w:pPr>
      <w:r>
        <w:t>Source:</w:t>
      </w:r>
      <w:r>
        <w:tab/>
        <w:t>Based on land value data provided by SROs.</w:t>
      </w:r>
    </w:p>
    <w:p w:rsidR="0032262B" w:rsidRPr="000F6176" w:rsidRDefault="0032262B" w:rsidP="0032262B">
      <w:pPr>
        <w:pStyle w:val="Heading5"/>
      </w:pPr>
      <w:r>
        <w:t>General property component</w:t>
      </w:r>
    </w:p>
    <w:p w:rsidR="0032262B" w:rsidRPr="00DB1AD5" w:rsidRDefault="0032262B" w:rsidP="0032262B">
      <w:pPr>
        <w:pStyle w:val="CGCNumberedPara"/>
        <w:numPr>
          <w:ilvl w:val="1"/>
          <w:numId w:val="3"/>
        </w:numPr>
      </w:pPr>
      <w:r>
        <w:t xml:space="preserve">States imposed other </w:t>
      </w:r>
      <w:r w:rsidRPr="00A66AD0">
        <w:t xml:space="preserve">land </w:t>
      </w:r>
      <w:r>
        <w:t xml:space="preserve">based </w:t>
      </w:r>
      <w:r w:rsidRPr="00A66AD0">
        <w:t>taxes</w:t>
      </w:r>
      <w:r>
        <w:t xml:space="preserve"> on residential</w:t>
      </w:r>
      <w:r w:rsidRPr="001212BD">
        <w:t xml:space="preserve"> </w:t>
      </w:r>
      <w:r>
        <w:t>(including principal places of residence), commercial and industrial land. These taxes were imposed on a per property basis (that is, there was no aggregation of land holdings)</w:t>
      </w:r>
      <w:r>
        <w:rPr>
          <w:szCs w:val="22"/>
        </w:rPr>
        <w:t>.</w:t>
      </w:r>
    </w:p>
    <w:p w:rsidR="0032262B" w:rsidRPr="00DB1AD5" w:rsidRDefault="0032262B" w:rsidP="0032262B">
      <w:pPr>
        <w:pStyle w:val="CGCNumberedPara"/>
        <w:numPr>
          <w:ilvl w:val="1"/>
          <w:numId w:val="3"/>
        </w:numPr>
      </w:pPr>
      <w:r w:rsidRPr="00A66AD0" w:rsidDel="00551362">
        <w:t>The</w:t>
      </w:r>
      <w:r>
        <w:t xml:space="preserve">se taxes </w:t>
      </w:r>
      <w:r w:rsidRPr="00A66AD0">
        <w:t>comprise</w:t>
      </w:r>
      <w:r>
        <w:t>d</w:t>
      </w:r>
      <w:r w:rsidRPr="00A66AD0" w:rsidDel="00551362">
        <w:t xml:space="preserve"> </w:t>
      </w:r>
      <w:r>
        <w:t xml:space="preserve">property based FESLs, metropolitan levies, and </w:t>
      </w:r>
      <w:r w:rsidR="00E0681C">
        <w:t xml:space="preserve">the </w:t>
      </w:r>
      <w:r>
        <w:t>ACT’s replacement revenue</w:t>
      </w:r>
      <w:r w:rsidRPr="00905B52">
        <w:rPr>
          <w:szCs w:val="22"/>
        </w:rPr>
        <w:t xml:space="preserve">. </w:t>
      </w:r>
      <w:r>
        <w:rPr>
          <w:szCs w:val="22"/>
        </w:rPr>
        <w:t>They we</w:t>
      </w:r>
      <w:r w:rsidRPr="00905B52">
        <w:rPr>
          <w:szCs w:val="22"/>
        </w:rPr>
        <w:t>re mostly annual property taxes</w:t>
      </w:r>
      <w:r>
        <w:rPr>
          <w:szCs w:val="22"/>
        </w:rPr>
        <w:t>. T</w:t>
      </w:r>
      <w:r w:rsidRPr="00905B52">
        <w:rPr>
          <w:szCs w:val="22"/>
        </w:rPr>
        <w:t xml:space="preserve">he exception </w:t>
      </w:r>
      <w:r>
        <w:rPr>
          <w:szCs w:val="22"/>
        </w:rPr>
        <w:t>was</w:t>
      </w:r>
      <w:r w:rsidRPr="00905B52">
        <w:rPr>
          <w:szCs w:val="22"/>
        </w:rPr>
        <w:t xml:space="preserve"> Victoria’s Growth Areas Infrastructure Contribution</w:t>
      </w:r>
      <w:r>
        <w:rPr>
          <w:szCs w:val="22"/>
        </w:rPr>
        <w:t>,</w:t>
      </w:r>
      <w:r w:rsidRPr="00905B52">
        <w:rPr>
          <w:szCs w:val="22"/>
        </w:rPr>
        <w:t xml:space="preserve"> which </w:t>
      </w:r>
      <w:r>
        <w:rPr>
          <w:szCs w:val="22"/>
        </w:rPr>
        <w:t>wa</w:t>
      </w:r>
      <w:r w:rsidRPr="00905B52">
        <w:rPr>
          <w:szCs w:val="22"/>
        </w:rPr>
        <w:t>s a one</w:t>
      </w:r>
      <w:r w:rsidRPr="00905B52">
        <w:rPr>
          <w:szCs w:val="22"/>
        </w:rPr>
        <w:noBreakHyphen/>
        <w:t xml:space="preserve">off tax. These taxes </w:t>
      </w:r>
      <w:r>
        <w:rPr>
          <w:szCs w:val="22"/>
        </w:rPr>
        <w:t>wer</w:t>
      </w:r>
      <w:r w:rsidRPr="00905B52">
        <w:rPr>
          <w:szCs w:val="22"/>
        </w:rPr>
        <w:t>e based on a fee per property</w:t>
      </w:r>
      <w:r>
        <w:rPr>
          <w:szCs w:val="22"/>
        </w:rPr>
        <w:t>,</w:t>
      </w:r>
      <w:r w:rsidRPr="00905B52">
        <w:rPr>
          <w:szCs w:val="22"/>
        </w:rPr>
        <w:t xml:space="preserve"> a proportion of the property’s value or both</w:t>
      </w:r>
      <w:r>
        <w:rPr>
          <w:szCs w:val="22"/>
        </w:rPr>
        <w:t>.</w:t>
      </w:r>
    </w:p>
    <w:p w:rsidR="0032262B" w:rsidRDefault="0032262B" w:rsidP="0032262B">
      <w:pPr>
        <w:pStyle w:val="CGCNumberedPara"/>
        <w:numPr>
          <w:ilvl w:val="1"/>
          <w:numId w:val="3"/>
        </w:numPr>
      </w:pPr>
      <w:r>
        <w:rPr>
          <w:szCs w:val="22"/>
        </w:rPr>
        <w:t xml:space="preserve">Initially, the Commission proposed assessing revenue capacity using total land values, but the level of revenue was not large enough for an assessment to be material. Therefore, the component was assessed EPC in the 2015 Review. </w:t>
      </w:r>
      <w:r>
        <w:t>That is, States were assessed to have the same revenue capacity per capita (a component factor of 1.000).</w:t>
      </w:r>
    </w:p>
    <w:p w:rsidR="0032262B" w:rsidRDefault="0032262B" w:rsidP="0032262B">
      <w:pPr>
        <w:pStyle w:val="Heading4"/>
      </w:pPr>
      <w:bookmarkStart w:id="15" w:name="_Toc511824719"/>
      <w:r>
        <w:t xml:space="preserve">GST </w:t>
      </w:r>
      <w:r w:rsidR="00037048">
        <w:t>re</w:t>
      </w:r>
      <w:r>
        <w:t>distribution</w:t>
      </w:r>
      <w:bookmarkEnd w:id="15"/>
    </w:p>
    <w:p w:rsidR="0032262B" w:rsidRDefault="0032262B" w:rsidP="0032262B">
      <w:pPr>
        <w:pStyle w:val="CGCNumberedPara"/>
        <w:numPr>
          <w:ilvl w:val="1"/>
          <w:numId w:val="3"/>
        </w:numPr>
      </w:pPr>
      <w:r>
        <w:rPr>
          <w:szCs w:val="22"/>
        </w:rPr>
        <w:fldChar w:fldCharType="begin"/>
      </w:r>
      <w:r>
        <w:instrText xml:space="preserve"> REF _Ref499713909 \h </w:instrText>
      </w:r>
      <w:r>
        <w:rPr>
          <w:szCs w:val="22"/>
        </w:rPr>
      </w:r>
      <w:r>
        <w:rPr>
          <w:szCs w:val="22"/>
        </w:rPr>
        <w:fldChar w:fldCharType="separate"/>
      </w:r>
      <w:r w:rsidR="002839F7">
        <w:t>Table </w:t>
      </w:r>
      <w:r w:rsidR="002839F7">
        <w:rPr>
          <w:noProof/>
        </w:rPr>
        <w:t>3</w:t>
      </w:r>
      <w:r>
        <w:rPr>
          <w:szCs w:val="22"/>
        </w:rPr>
        <w:fldChar w:fldCharType="end"/>
      </w:r>
      <w:r>
        <w:rPr>
          <w:szCs w:val="22"/>
        </w:rPr>
        <w:t xml:space="preserve"> shows the extent to which the assessment moves the GST distribution away from an EPC distribution in 2018-19. It shows GST revenue is redistributed from States with an above average revenue raising capacity (New South Wales, Victoria and Western Australia) to States with a below average revenue capacity</w:t>
      </w:r>
      <w:r>
        <w:t>.</w:t>
      </w:r>
    </w:p>
    <w:p w:rsidR="0032262B" w:rsidRDefault="0032262B" w:rsidP="0032262B">
      <w:pPr>
        <w:pStyle w:val="CGCTableHeading"/>
      </w:pPr>
      <w:bookmarkStart w:id="16" w:name="_Ref499713909"/>
      <w:r>
        <w:t>Table </w:t>
      </w:r>
      <w:fldSimple w:instr=" SEQ Table \* ARABIC ">
        <w:r w:rsidR="002839F7">
          <w:rPr>
            <w:noProof/>
          </w:rPr>
          <w:t>3</w:t>
        </w:r>
      </w:fldSimple>
      <w:bookmarkEnd w:id="16"/>
      <w:r>
        <w:tab/>
        <w:t xml:space="preserve">GST </w:t>
      </w:r>
      <w:r w:rsidR="00E0681C">
        <w:t>re</w:t>
      </w:r>
      <w:r>
        <w:t>distribution, Land revenue, 2018 Update</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32262B" w:rsidRPr="00FE3F73" w:rsidTr="0032676A">
        <w:tc>
          <w:tcPr>
            <w:tcW w:w="1354" w:type="pct"/>
            <w:tcBorders>
              <w:top w:val="single" w:sz="6" w:space="0" w:color="auto"/>
              <w:bottom w:val="single" w:sz="6" w:space="0" w:color="auto"/>
            </w:tcBorders>
            <w:vAlign w:val="bottom"/>
          </w:tcPr>
          <w:p w:rsidR="0032262B" w:rsidRPr="00FE3F73" w:rsidRDefault="0032262B" w:rsidP="0032676A">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Tas</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Pr>
                <w:rFonts w:cstheme="minorHAnsi"/>
              </w:rPr>
              <w:t>Redist</w:t>
            </w:r>
          </w:p>
        </w:tc>
      </w:tr>
      <w:tr w:rsidR="0032262B" w:rsidRPr="00FE3F73" w:rsidTr="0032676A">
        <w:tc>
          <w:tcPr>
            <w:tcW w:w="1354" w:type="pct"/>
            <w:tcMar>
              <w:top w:w="0" w:type="dxa"/>
              <w:bottom w:w="0" w:type="dxa"/>
            </w:tcMar>
            <w:vAlign w:val="bottom"/>
          </w:tcPr>
          <w:p w:rsidR="0032262B" w:rsidRPr="00FE3F73" w:rsidRDefault="0032262B" w:rsidP="0032676A">
            <w:pPr>
              <w:pStyle w:val="CGCTableStub"/>
              <w:spacing w:before="0" w:after="0" w:line="240" w:lineRule="auto"/>
              <w:jc w:val="right"/>
              <w:rPr>
                <w:rFonts w:cstheme="minorHAnsi"/>
              </w:rPr>
            </w:pP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$m</w:t>
            </w:r>
          </w:p>
        </w:tc>
      </w:tr>
      <w:tr w:rsidR="0032262B" w:rsidRPr="00FE3F73" w:rsidTr="0032676A">
        <w:tc>
          <w:tcPr>
            <w:tcW w:w="1354" w:type="pct"/>
            <w:vAlign w:val="bottom"/>
          </w:tcPr>
          <w:p w:rsidR="0032262B" w:rsidRPr="004537EA" w:rsidRDefault="0032262B" w:rsidP="0032676A">
            <w:pPr>
              <w:pStyle w:val="CGCTableStub"/>
              <w:ind w:left="193" w:hanging="142"/>
              <w:rPr>
                <w:rFonts w:cstheme="minorHAnsi"/>
              </w:rPr>
            </w:pPr>
            <w:r>
              <w:rPr>
                <w:rFonts w:cstheme="minorHAnsi"/>
              </w:rPr>
              <w:t xml:space="preserve">Income producing property </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-4</w:t>
            </w:r>
            <w:r>
              <w:rPr>
                <w:rFonts w:cstheme="minorHAnsi"/>
              </w:rPr>
              <w:t>50</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-23</w:t>
            </w:r>
            <w:r>
              <w:rPr>
                <w:rFonts w:cstheme="minorHAnsi"/>
              </w:rPr>
              <w:t>4</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40</w:t>
            </w:r>
            <w:r>
              <w:rPr>
                <w:rFonts w:cstheme="minorHAnsi"/>
              </w:rPr>
              <w:t>6</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-1</w:t>
            </w:r>
            <w:r>
              <w:rPr>
                <w:rFonts w:cstheme="minorHAnsi"/>
              </w:rPr>
              <w:t>73</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2</w:t>
            </w:r>
            <w:r>
              <w:rPr>
                <w:rFonts w:cstheme="minorHAnsi"/>
              </w:rPr>
              <w:t>66</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9</w:t>
            </w:r>
            <w:r>
              <w:rPr>
                <w:rFonts w:cstheme="minorHAnsi"/>
              </w:rPr>
              <w:t>5</w:t>
            </w:r>
          </w:p>
        </w:tc>
        <w:tc>
          <w:tcPr>
            <w:tcW w:w="405" w:type="pct"/>
            <w:vAlign w:val="bottom"/>
          </w:tcPr>
          <w:p w:rsidR="0032262B" w:rsidRPr="004D3B24" w:rsidRDefault="0032262B" w:rsidP="0032676A">
            <w:pPr>
              <w:pStyle w:val="TableRowNormal"/>
              <w:ind w:left="0" w:firstLine="0"/>
              <w:rPr>
                <w:rFonts w:cstheme="minorHAnsi"/>
              </w:rPr>
            </w:pPr>
            <w:r>
              <w:rPr>
                <w:rFonts w:cstheme="minorHAnsi"/>
              </w:rPr>
              <w:t>64</w:t>
            </w:r>
          </w:p>
        </w:tc>
        <w:tc>
          <w:tcPr>
            <w:tcW w:w="405" w:type="pct"/>
            <w:vAlign w:val="bottom"/>
          </w:tcPr>
          <w:p w:rsidR="0032262B" w:rsidRPr="004D3B24" w:rsidRDefault="0032262B" w:rsidP="0032676A">
            <w:pPr>
              <w:pStyle w:val="TableRowNormal"/>
              <w:ind w:left="0" w:firstLine="0"/>
              <w:rPr>
                <w:rFonts w:cstheme="minorHAnsi"/>
              </w:rPr>
            </w:pPr>
            <w:r>
              <w:rPr>
                <w:rFonts w:cstheme="minorHAnsi"/>
              </w:rPr>
              <w:t>25</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8</w:t>
            </w:r>
            <w:r>
              <w:rPr>
                <w:rFonts w:cstheme="minorHAnsi"/>
              </w:rPr>
              <w:t>57</w:t>
            </w:r>
          </w:p>
        </w:tc>
      </w:tr>
      <w:tr w:rsidR="0032262B" w:rsidRPr="00FE3F73" w:rsidTr="0032676A">
        <w:tc>
          <w:tcPr>
            <w:tcW w:w="1354" w:type="pct"/>
            <w:vAlign w:val="bottom"/>
          </w:tcPr>
          <w:p w:rsidR="0032262B" w:rsidRPr="004537EA" w:rsidRDefault="0032262B" w:rsidP="0032676A">
            <w:pPr>
              <w:pStyle w:val="CGCTableStub"/>
              <w:ind w:left="193" w:hanging="142"/>
              <w:rPr>
                <w:rFonts w:cstheme="minorHAnsi"/>
              </w:rPr>
            </w:pPr>
            <w:r>
              <w:rPr>
                <w:rFonts w:cstheme="minorHAnsi"/>
              </w:rPr>
              <w:t>General property</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0</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0</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0</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0</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0</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0</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0</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0</w:t>
            </w:r>
          </w:p>
        </w:tc>
        <w:tc>
          <w:tcPr>
            <w:tcW w:w="405" w:type="pct"/>
            <w:vAlign w:val="bottom"/>
          </w:tcPr>
          <w:p w:rsidR="0032262B" w:rsidRPr="004D3B24" w:rsidRDefault="0032262B" w:rsidP="0032676A">
            <w:pPr>
              <w:pStyle w:val="TableRowNormal"/>
              <w:ind w:left="0" w:firstLine="0"/>
              <w:rPr>
                <w:rFonts w:cstheme="minorHAnsi"/>
              </w:rPr>
            </w:pPr>
            <w:r w:rsidRPr="004D3B24">
              <w:rPr>
                <w:rFonts w:cstheme="minorHAnsi"/>
              </w:rPr>
              <w:t>0</w:t>
            </w:r>
          </w:p>
        </w:tc>
      </w:tr>
      <w:tr w:rsidR="0032262B" w:rsidRPr="00FE3F73" w:rsidTr="0032676A">
        <w:tc>
          <w:tcPr>
            <w:tcW w:w="1354" w:type="pct"/>
            <w:vAlign w:val="bottom"/>
          </w:tcPr>
          <w:p w:rsidR="0032262B" w:rsidRPr="004537EA" w:rsidRDefault="0032262B" w:rsidP="0032676A">
            <w:pPr>
              <w:pStyle w:val="CGCTableStub"/>
              <w:ind w:left="193" w:hanging="142"/>
              <w:rPr>
                <w:rFonts w:cstheme="minorHAnsi"/>
              </w:rPr>
            </w:pPr>
            <w:r>
              <w:rPr>
                <w:rFonts w:cstheme="minorHAnsi"/>
              </w:rPr>
              <w:t>Total</w:t>
            </w:r>
          </w:p>
        </w:tc>
        <w:tc>
          <w:tcPr>
            <w:tcW w:w="405" w:type="pct"/>
            <w:tcBorders>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-4</w:t>
            </w:r>
            <w:r>
              <w:rPr>
                <w:rFonts w:cstheme="minorHAnsi"/>
              </w:rPr>
              <w:t>50</w:t>
            </w:r>
          </w:p>
        </w:tc>
        <w:tc>
          <w:tcPr>
            <w:tcW w:w="405" w:type="pct"/>
            <w:tcBorders>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-23</w:t>
            </w:r>
            <w:r>
              <w:rPr>
                <w:rFonts w:cstheme="minorHAnsi"/>
              </w:rPr>
              <w:t>4</w:t>
            </w:r>
          </w:p>
        </w:tc>
        <w:tc>
          <w:tcPr>
            <w:tcW w:w="405" w:type="pct"/>
            <w:tcBorders>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40</w:t>
            </w:r>
            <w:r>
              <w:rPr>
                <w:rFonts w:cstheme="minorHAnsi"/>
              </w:rPr>
              <w:t>6</w:t>
            </w:r>
          </w:p>
        </w:tc>
        <w:tc>
          <w:tcPr>
            <w:tcW w:w="405" w:type="pct"/>
            <w:tcBorders>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-1</w:t>
            </w:r>
            <w:r>
              <w:rPr>
                <w:rFonts w:cstheme="minorHAnsi"/>
              </w:rPr>
              <w:t>73</w:t>
            </w:r>
          </w:p>
        </w:tc>
        <w:tc>
          <w:tcPr>
            <w:tcW w:w="405" w:type="pct"/>
            <w:tcBorders>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2</w:t>
            </w:r>
            <w:r>
              <w:rPr>
                <w:rFonts w:cstheme="minorHAnsi"/>
              </w:rPr>
              <w:t>66</w:t>
            </w:r>
          </w:p>
        </w:tc>
        <w:tc>
          <w:tcPr>
            <w:tcW w:w="405" w:type="pct"/>
            <w:tcBorders>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9</w:t>
            </w:r>
            <w:r>
              <w:rPr>
                <w:rFonts w:cstheme="minorHAnsi"/>
              </w:rPr>
              <w:t>5</w:t>
            </w:r>
          </w:p>
        </w:tc>
        <w:tc>
          <w:tcPr>
            <w:tcW w:w="405" w:type="pct"/>
            <w:tcBorders>
              <w:bottom w:val="single" w:sz="4" w:space="0" w:color="auto"/>
            </w:tcBorders>
            <w:vAlign w:val="bottom"/>
          </w:tcPr>
          <w:p w:rsidR="0032262B" w:rsidRPr="004D3B24" w:rsidRDefault="0032262B" w:rsidP="0032676A">
            <w:pPr>
              <w:pStyle w:val="TableRowNormal"/>
              <w:ind w:left="0" w:firstLine="0"/>
              <w:rPr>
                <w:rFonts w:cstheme="minorHAnsi"/>
              </w:rPr>
            </w:pPr>
            <w:r>
              <w:rPr>
                <w:rFonts w:cstheme="minorHAnsi"/>
              </w:rPr>
              <w:t>64</w:t>
            </w:r>
          </w:p>
        </w:tc>
        <w:tc>
          <w:tcPr>
            <w:tcW w:w="405" w:type="pct"/>
            <w:tcBorders>
              <w:bottom w:val="single" w:sz="4" w:space="0" w:color="auto"/>
            </w:tcBorders>
            <w:vAlign w:val="bottom"/>
          </w:tcPr>
          <w:p w:rsidR="0032262B" w:rsidRPr="004D3B24" w:rsidRDefault="0032262B" w:rsidP="0032676A">
            <w:pPr>
              <w:pStyle w:val="TableRowNormal"/>
              <w:ind w:left="0" w:firstLine="0"/>
              <w:rPr>
                <w:rFonts w:cstheme="minorHAnsi"/>
              </w:rPr>
            </w:pPr>
            <w:r>
              <w:rPr>
                <w:rFonts w:cstheme="minorHAnsi"/>
              </w:rPr>
              <w:t>25</w:t>
            </w:r>
          </w:p>
        </w:tc>
        <w:tc>
          <w:tcPr>
            <w:tcW w:w="405" w:type="pct"/>
            <w:tcBorders>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8</w:t>
            </w:r>
            <w:r>
              <w:rPr>
                <w:rFonts w:cstheme="minorHAnsi"/>
              </w:rPr>
              <w:t>57</w:t>
            </w:r>
          </w:p>
        </w:tc>
      </w:tr>
      <w:tr w:rsidR="0032262B" w:rsidRPr="00FE3F73" w:rsidTr="0032676A">
        <w:tc>
          <w:tcPr>
            <w:tcW w:w="1354" w:type="pct"/>
            <w:tcBorders>
              <w:bottom w:val="single" w:sz="4" w:space="0" w:color="auto"/>
            </w:tcBorders>
            <w:vAlign w:val="bottom"/>
          </w:tcPr>
          <w:p w:rsidR="0032262B" w:rsidRDefault="0032262B" w:rsidP="0032676A">
            <w:pPr>
              <w:pStyle w:val="CGCTableStub"/>
              <w:ind w:left="193" w:hanging="142"/>
              <w:rPr>
                <w:rFonts w:cstheme="minorHAnsi"/>
              </w:rPr>
            </w:pPr>
            <w:r>
              <w:rPr>
                <w:rFonts w:cstheme="minorHAnsi"/>
              </w:rPr>
              <w:t>Total ($pc)</w:t>
            </w:r>
          </w:p>
        </w:tc>
        <w:tc>
          <w:tcPr>
            <w:tcW w:w="405" w:type="pct"/>
            <w:tcBorders>
              <w:top w:val="single" w:sz="4" w:space="0" w:color="auto"/>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w:t>
            </w:r>
            <w:r>
              <w:rPr>
                <w:rFonts w:cstheme="minorHAnsi"/>
              </w:rPr>
              <w:t>56</w:t>
            </w:r>
          </w:p>
        </w:tc>
        <w:tc>
          <w:tcPr>
            <w:tcW w:w="405" w:type="pct"/>
            <w:tcBorders>
              <w:top w:val="single" w:sz="4" w:space="0" w:color="auto"/>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-3</w:t>
            </w:r>
            <w:r>
              <w:rPr>
                <w:rFonts w:cstheme="minorHAnsi"/>
              </w:rPr>
              <w:t>6</w:t>
            </w:r>
          </w:p>
        </w:tc>
        <w:tc>
          <w:tcPr>
            <w:tcW w:w="405" w:type="pct"/>
            <w:tcBorders>
              <w:top w:val="single" w:sz="4" w:space="0" w:color="auto"/>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8</w:t>
            </w:r>
            <w:r>
              <w:rPr>
                <w:rFonts w:cstheme="minorHAnsi"/>
              </w:rPr>
              <w:t>1</w:t>
            </w:r>
          </w:p>
        </w:tc>
        <w:tc>
          <w:tcPr>
            <w:tcW w:w="405" w:type="pct"/>
            <w:tcBorders>
              <w:top w:val="single" w:sz="4" w:space="0" w:color="auto"/>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-6</w:t>
            </w:r>
            <w:r>
              <w:rPr>
                <w:rFonts w:cstheme="minorHAnsi"/>
              </w:rPr>
              <w:t>6</w:t>
            </w:r>
          </w:p>
        </w:tc>
        <w:tc>
          <w:tcPr>
            <w:tcW w:w="405" w:type="pct"/>
            <w:tcBorders>
              <w:top w:val="single" w:sz="4" w:space="0" w:color="auto"/>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1</w:t>
            </w:r>
            <w:r>
              <w:rPr>
                <w:rFonts w:cstheme="minorHAnsi"/>
              </w:rPr>
              <w:t>5</w:t>
            </w:r>
            <w:r w:rsidRPr="004D3B24">
              <w:rPr>
                <w:rFonts w:cstheme="minorHAnsi"/>
              </w:rPr>
              <w:t>3</w:t>
            </w:r>
          </w:p>
        </w:tc>
        <w:tc>
          <w:tcPr>
            <w:tcW w:w="405" w:type="pct"/>
            <w:tcBorders>
              <w:top w:val="single" w:sz="4" w:space="0" w:color="auto"/>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18</w:t>
            </w:r>
            <w:r>
              <w:rPr>
                <w:rFonts w:cstheme="minorHAnsi"/>
              </w:rPr>
              <w:t>2</w:t>
            </w:r>
          </w:p>
        </w:tc>
        <w:tc>
          <w:tcPr>
            <w:tcW w:w="405" w:type="pct"/>
            <w:tcBorders>
              <w:top w:val="single" w:sz="4" w:space="0" w:color="auto"/>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154</w:t>
            </w:r>
          </w:p>
        </w:tc>
        <w:tc>
          <w:tcPr>
            <w:tcW w:w="405" w:type="pct"/>
            <w:tcBorders>
              <w:top w:val="single" w:sz="4" w:space="0" w:color="auto"/>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10</w:t>
            </w:r>
            <w:r>
              <w:rPr>
                <w:rFonts w:cstheme="minorHAnsi"/>
              </w:rPr>
              <w:t>1</w:t>
            </w:r>
          </w:p>
        </w:tc>
        <w:tc>
          <w:tcPr>
            <w:tcW w:w="405" w:type="pct"/>
            <w:tcBorders>
              <w:top w:val="single" w:sz="4" w:space="0" w:color="auto"/>
              <w:bottom w:val="single" w:sz="4" w:space="0" w:color="auto"/>
            </w:tcBorders>
            <w:vAlign w:val="bottom"/>
          </w:tcPr>
          <w:p w:rsidR="0032262B" w:rsidRPr="004D3B24" w:rsidRDefault="0032262B" w:rsidP="0032676A">
            <w:pPr>
              <w:pStyle w:val="TableRowNormal"/>
              <w:ind w:left="0" w:firstLine="0"/>
              <w:rPr>
                <w:rFonts w:cstheme="minorHAnsi"/>
              </w:rPr>
            </w:pPr>
            <w:r w:rsidRPr="004D3B24">
              <w:rPr>
                <w:rFonts w:cstheme="minorHAnsi"/>
              </w:rPr>
              <w:t>3</w:t>
            </w:r>
            <w:r>
              <w:rPr>
                <w:rFonts w:cstheme="minorHAnsi"/>
              </w:rPr>
              <w:t>4</w:t>
            </w:r>
          </w:p>
        </w:tc>
      </w:tr>
    </w:tbl>
    <w:p w:rsidR="0032262B" w:rsidRDefault="0032262B" w:rsidP="0032262B">
      <w:pPr>
        <w:pStyle w:val="CGCTableFootnote"/>
      </w:pPr>
      <w:r>
        <w:t>Source:</w:t>
      </w:r>
      <w:r>
        <w:tab/>
      </w:r>
      <w:r w:rsidR="00E0681C">
        <w:t>Commission calculation</w:t>
      </w:r>
      <w:r>
        <w:t>.</w:t>
      </w:r>
    </w:p>
    <w:p w:rsidR="0032262B" w:rsidRDefault="0032262B" w:rsidP="0032262B">
      <w:pPr>
        <w:pStyle w:val="Heading3"/>
      </w:pPr>
      <w:bookmarkStart w:id="17" w:name="_Toc511824720"/>
      <w:r>
        <w:t>Issues and analysis</w:t>
      </w:r>
      <w:bookmarkEnd w:id="17"/>
    </w:p>
    <w:p w:rsidR="0032262B" w:rsidRPr="00DB1AD5" w:rsidRDefault="0032262B" w:rsidP="0032262B">
      <w:pPr>
        <w:pStyle w:val="CGCNumberedPara"/>
        <w:numPr>
          <w:ilvl w:val="1"/>
          <w:numId w:val="3"/>
        </w:numPr>
      </w:pPr>
      <w:r>
        <w:t>There are three assessment issues to be resolved for the 2020 Review</w:t>
      </w:r>
      <w:r>
        <w:rPr>
          <w:szCs w:val="22"/>
        </w:rPr>
        <w:t>. They are:</w:t>
      </w:r>
    </w:p>
    <w:p w:rsidR="0032262B" w:rsidRDefault="0032262B" w:rsidP="0032262B">
      <w:pPr>
        <w:pStyle w:val="CGCBulletlist"/>
        <w:numPr>
          <w:ilvl w:val="0"/>
          <w:numId w:val="1"/>
        </w:numPr>
        <w:tabs>
          <w:tab w:val="clear" w:pos="927"/>
        </w:tabs>
        <w:ind w:left="1134" w:hanging="567"/>
      </w:pPr>
      <w:r>
        <w:t>which revenues should be included in the category?</w:t>
      </w:r>
    </w:p>
    <w:p w:rsidR="0032262B" w:rsidRDefault="0032676A" w:rsidP="0032262B">
      <w:pPr>
        <w:pStyle w:val="CGCBulletlist"/>
        <w:numPr>
          <w:ilvl w:val="0"/>
          <w:numId w:val="1"/>
        </w:numPr>
        <w:tabs>
          <w:tab w:val="clear" w:pos="927"/>
        </w:tabs>
        <w:ind w:left="1134" w:hanging="567"/>
      </w:pPr>
      <w:r>
        <w:t>what are the drivers of revenue capacity?</w:t>
      </w:r>
    </w:p>
    <w:p w:rsidR="0032262B" w:rsidRPr="00DB1AD5" w:rsidRDefault="0032262B" w:rsidP="0032262B">
      <w:pPr>
        <w:pStyle w:val="CGCBulletlist"/>
        <w:numPr>
          <w:ilvl w:val="0"/>
          <w:numId w:val="1"/>
        </w:numPr>
        <w:tabs>
          <w:tab w:val="clear" w:pos="927"/>
        </w:tabs>
        <w:ind w:left="1134" w:hanging="567"/>
      </w:pPr>
      <w:r>
        <w:t>which data source should the Commission use</w:t>
      </w:r>
      <w:r w:rsidR="0032676A">
        <w:t xml:space="preserve"> to assess revenue capacity</w:t>
      </w:r>
      <w:r>
        <w:t>?</w:t>
      </w:r>
    </w:p>
    <w:p w:rsidR="0032262B" w:rsidRDefault="0032262B" w:rsidP="0032262B">
      <w:pPr>
        <w:pStyle w:val="Heading4"/>
      </w:pPr>
      <w:bookmarkStart w:id="18" w:name="_Toc511824721"/>
      <w:r>
        <w:t>Which revenues should be included in the category?</w:t>
      </w:r>
      <w:bookmarkEnd w:id="18"/>
    </w:p>
    <w:p w:rsidR="0032262B" w:rsidRDefault="0032676A" w:rsidP="0032262B">
      <w:pPr>
        <w:pStyle w:val="CGCNumberedPara"/>
        <w:numPr>
          <w:ilvl w:val="1"/>
          <w:numId w:val="3"/>
        </w:numPr>
      </w:pPr>
      <w:r>
        <w:t xml:space="preserve">As a starting point, </w:t>
      </w:r>
      <w:r w:rsidR="0032262B">
        <w:t xml:space="preserve">the Commission </w:t>
      </w:r>
      <w:r>
        <w:t>w</w:t>
      </w:r>
      <w:r w:rsidR="0032262B">
        <w:t xml:space="preserve">ould include all </w:t>
      </w:r>
      <w:r>
        <w:t>revenues</w:t>
      </w:r>
      <w:r w:rsidR="0032262B">
        <w:t xml:space="preserve"> </w:t>
      </w:r>
      <w:r>
        <w:t xml:space="preserve">raised </w:t>
      </w:r>
      <w:r w:rsidR="0032262B">
        <w:t xml:space="preserve">on land ownership in the Land revenue category. </w:t>
      </w:r>
      <w:r w:rsidR="0032262B">
        <w:fldChar w:fldCharType="begin"/>
      </w:r>
      <w:r w:rsidR="0032262B">
        <w:instrText xml:space="preserve"> REF _Ref498679815 \h </w:instrText>
      </w:r>
      <w:r w:rsidR="0032262B">
        <w:fldChar w:fldCharType="separate"/>
      </w:r>
      <w:r w:rsidR="002839F7">
        <w:t>Table </w:t>
      </w:r>
      <w:r w:rsidR="002839F7">
        <w:rPr>
          <w:noProof/>
        </w:rPr>
        <w:t>4</w:t>
      </w:r>
      <w:r w:rsidR="0032262B">
        <w:fldChar w:fldCharType="end"/>
      </w:r>
      <w:r w:rsidR="0032262B">
        <w:t xml:space="preserve"> lists States’ land based </w:t>
      </w:r>
      <w:r>
        <w:t>revenues</w:t>
      </w:r>
      <w:r w:rsidR="0032262B">
        <w:t xml:space="preserve">, other than Land tax. If all of these </w:t>
      </w:r>
      <w:r>
        <w:t>revenues</w:t>
      </w:r>
      <w:r w:rsidR="0032262B">
        <w:t xml:space="preserve"> were included in the category, it would increase its size by about $200 million.</w:t>
      </w:r>
    </w:p>
    <w:p w:rsidR="007C54FD" w:rsidRDefault="007C54FD" w:rsidP="007C54FD">
      <w:pPr>
        <w:pStyle w:val="CGCNumberedPara"/>
        <w:numPr>
          <w:ilvl w:val="1"/>
          <w:numId w:val="3"/>
        </w:numPr>
      </w:pPr>
      <w:r>
        <w:t>From this starting point, there may be reasons for excluding a revenue stream, for example, if:</w:t>
      </w:r>
    </w:p>
    <w:p w:rsidR="007C54FD" w:rsidRDefault="007C54FD" w:rsidP="007C54FD">
      <w:pPr>
        <w:pStyle w:val="CGCBulletlist"/>
        <w:numPr>
          <w:ilvl w:val="0"/>
          <w:numId w:val="1"/>
        </w:numPr>
        <w:tabs>
          <w:tab w:val="clear" w:pos="927"/>
        </w:tabs>
        <w:ind w:left="1134" w:hanging="567"/>
      </w:pPr>
      <w:r>
        <w:t>the revenue is deemed to be a user charge</w:t>
      </w:r>
    </w:p>
    <w:p w:rsidR="007C54FD" w:rsidRDefault="007C54FD" w:rsidP="007C54FD">
      <w:pPr>
        <w:pStyle w:val="CGCBulletlist"/>
        <w:numPr>
          <w:ilvl w:val="0"/>
          <w:numId w:val="1"/>
        </w:numPr>
        <w:tabs>
          <w:tab w:val="clear" w:pos="927"/>
        </w:tabs>
        <w:ind w:left="1134" w:hanging="567"/>
      </w:pPr>
      <w:r>
        <w:t>the revenue is deemed to be for another level of government</w:t>
      </w:r>
    </w:p>
    <w:p w:rsidR="007C54FD" w:rsidRDefault="007C54FD" w:rsidP="007C54FD">
      <w:pPr>
        <w:pStyle w:val="CGCBulletlist"/>
        <w:numPr>
          <w:ilvl w:val="0"/>
          <w:numId w:val="1"/>
        </w:numPr>
        <w:tabs>
          <w:tab w:val="clear" w:pos="927"/>
        </w:tabs>
        <w:ind w:left="1134" w:hanging="567"/>
      </w:pPr>
      <w:r>
        <w:t>a decision is made to gather all FESLs together and assess them in another category.</w:t>
      </w:r>
    </w:p>
    <w:p w:rsidR="007C54FD" w:rsidRDefault="007C54FD" w:rsidP="007C54FD">
      <w:pPr>
        <w:pStyle w:val="CGCNumberedPara"/>
        <w:numPr>
          <w:ilvl w:val="0"/>
          <w:numId w:val="0"/>
        </w:numPr>
        <w:ind w:left="567" w:hanging="567"/>
      </w:pPr>
    </w:p>
    <w:p w:rsidR="007C54FD" w:rsidRDefault="007C54FD" w:rsidP="007C54FD">
      <w:pPr>
        <w:pStyle w:val="CGCNumberedPara"/>
        <w:numPr>
          <w:ilvl w:val="0"/>
          <w:numId w:val="0"/>
        </w:numPr>
        <w:ind w:left="567" w:hanging="567"/>
      </w:pPr>
    </w:p>
    <w:p w:rsidR="0032262B" w:rsidRDefault="0032262B" w:rsidP="0032262B">
      <w:pPr>
        <w:pStyle w:val="CGCTableHeading"/>
      </w:pPr>
      <w:bookmarkStart w:id="19" w:name="_Ref498679815"/>
      <w:r>
        <w:t>Table </w:t>
      </w:r>
      <w:fldSimple w:instr=" SEQ Table \* ARABIC ">
        <w:r w:rsidR="002839F7">
          <w:rPr>
            <w:noProof/>
          </w:rPr>
          <w:t>4</w:t>
        </w:r>
      </w:fldSimple>
      <w:bookmarkEnd w:id="19"/>
      <w:r>
        <w:tab/>
        <w:t xml:space="preserve">Land based </w:t>
      </w:r>
      <w:r w:rsidR="0032676A">
        <w:t>revenues</w:t>
      </w:r>
      <w:r>
        <w:t xml:space="preserve"> other than Land tax</w:t>
      </w:r>
    </w:p>
    <w:tbl>
      <w:tblPr>
        <w:tblW w:w="5000" w:type="pct"/>
        <w:tblCellMar>
          <w:left w:w="85" w:type="dxa"/>
          <w:right w:w="85" w:type="dxa"/>
        </w:tblCellMar>
        <w:tblLook w:val="0000" w:firstRow="0" w:lastRow="0" w:firstColumn="0" w:lastColumn="0" w:noHBand="0" w:noVBand="0"/>
      </w:tblPr>
      <w:tblGrid>
        <w:gridCol w:w="649"/>
        <w:gridCol w:w="1704"/>
        <w:gridCol w:w="2835"/>
        <w:gridCol w:w="3933"/>
      </w:tblGrid>
      <w:tr w:rsidR="0032262B" w:rsidRPr="004537EA" w:rsidTr="0032676A">
        <w:tc>
          <w:tcPr>
            <w:tcW w:w="356"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State</w:t>
            </w:r>
          </w:p>
        </w:tc>
        <w:tc>
          <w:tcPr>
            <w:tcW w:w="934"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Tax</w:t>
            </w:r>
          </w:p>
        </w:tc>
        <w:tc>
          <w:tcPr>
            <w:tcW w:w="1554"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Basis of tax</w:t>
            </w:r>
          </w:p>
        </w:tc>
        <w:tc>
          <w:tcPr>
            <w:tcW w:w="2156"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Purpose</w:t>
            </w:r>
          </w:p>
        </w:tc>
      </w:tr>
      <w:tr w:rsidR="0032262B" w:rsidRPr="004537EA" w:rsidTr="0032676A">
        <w:tc>
          <w:tcPr>
            <w:tcW w:w="356" w:type="pct"/>
          </w:tcPr>
          <w:p w:rsidR="0032262B" w:rsidRPr="004537EA" w:rsidRDefault="0032262B" w:rsidP="0032676A">
            <w:pPr>
              <w:pStyle w:val="CGCTableStub"/>
              <w:rPr>
                <w:rFonts w:cstheme="minorHAnsi"/>
              </w:rPr>
            </w:pPr>
            <w:r>
              <w:rPr>
                <w:rFonts w:cstheme="minorHAnsi"/>
              </w:rPr>
              <w:t>NSW</w:t>
            </w:r>
          </w:p>
        </w:tc>
        <w:tc>
          <w:tcPr>
            <w:tcW w:w="934" w:type="pct"/>
          </w:tcPr>
          <w:p w:rsidR="0032262B" w:rsidRPr="004537EA" w:rsidRDefault="0032262B" w:rsidP="0032676A">
            <w:pPr>
              <w:pStyle w:val="CGCTableStub"/>
              <w:rPr>
                <w:rFonts w:cstheme="minorHAnsi"/>
              </w:rPr>
            </w:pPr>
            <w:r>
              <w:rPr>
                <w:rFonts w:cstheme="minorHAnsi"/>
              </w:rPr>
              <w:t>Parking space levy</w:t>
            </w:r>
          </w:p>
        </w:tc>
        <w:tc>
          <w:tcPr>
            <w:tcW w:w="1554" w:type="pct"/>
          </w:tcPr>
          <w:p w:rsidR="0032262B" w:rsidRPr="004537EA" w:rsidRDefault="0032262B" w:rsidP="0032676A">
            <w:pPr>
              <w:pStyle w:val="CGCTableStub"/>
              <w:rPr>
                <w:rFonts w:cstheme="minorHAnsi"/>
              </w:rPr>
            </w:pPr>
            <w:r>
              <w:rPr>
                <w:rFonts w:cstheme="minorHAnsi"/>
              </w:rPr>
              <w:t>Fixed fee per parking space</w:t>
            </w:r>
          </w:p>
        </w:tc>
        <w:tc>
          <w:tcPr>
            <w:tcW w:w="2156" w:type="pct"/>
          </w:tcPr>
          <w:p w:rsidR="0032262B" w:rsidRPr="004537EA" w:rsidRDefault="0032262B" w:rsidP="0032676A">
            <w:pPr>
              <w:pStyle w:val="CGCTableStub"/>
              <w:rPr>
                <w:rFonts w:cstheme="minorHAnsi"/>
              </w:rPr>
            </w:pPr>
            <w:r>
              <w:rPr>
                <w:rFonts w:cstheme="minorHAnsi"/>
              </w:rPr>
              <w:t>To reduce congestion in key business districts and to help meet the cost of building better public transport</w:t>
            </w:r>
          </w:p>
        </w:tc>
      </w:tr>
      <w:tr w:rsidR="0032262B" w:rsidRPr="004537EA" w:rsidTr="0032676A">
        <w:tc>
          <w:tcPr>
            <w:tcW w:w="356" w:type="pct"/>
          </w:tcPr>
          <w:p w:rsidR="0032262B" w:rsidRPr="004537EA" w:rsidRDefault="0032262B" w:rsidP="0032676A">
            <w:pPr>
              <w:pStyle w:val="CGCTableStub"/>
              <w:rPr>
                <w:rFonts w:cstheme="minorHAnsi"/>
              </w:rPr>
            </w:pPr>
            <w:r>
              <w:rPr>
                <w:rFonts w:cstheme="minorHAnsi"/>
              </w:rPr>
              <w:t>Vic</w:t>
            </w:r>
          </w:p>
        </w:tc>
        <w:tc>
          <w:tcPr>
            <w:tcW w:w="934" w:type="pct"/>
          </w:tcPr>
          <w:p w:rsidR="0032262B" w:rsidRPr="004537EA" w:rsidRDefault="0032262B" w:rsidP="0032676A">
            <w:pPr>
              <w:pStyle w:val="CGCTableStub"/>
              <w:rPr>
                <w:rFonts w:cstheme="minorHAnsi"/>
              </w:rPr>
            </w:pPr>
            <w:r>
              <w:rPr>
                <w:rFonts w:cstheme="minorHAnsi"/>
              </w:rPr>
              <w:t>Fire services property levy</w:t>
            </w:r>
          </w:p>
        </w:tc>
        <w:tc>
          <w:tcPr>
            <w:tcW w:w="1554" w:type="pct"/>
          </w:tcPr>
          <w:p w:rsidR="0032262B" w:rsidRPr="004537EA" w:rsidRDefault="0032262B" w:rsidP="0032676A">
            <w:pPr>
              <w:pStyle w:val="CGCTableStub"/>
              <w:rPr>
                <w:rFonts w:cstheme="minorHAnsi"/>
              </w:rPr>
            </w:pPr>
            <w:r>
              <w:rPr>
                <w:rFonts w:cstheme="minorHAnsi"/>
              </w:rPr>
              <w:t>Fixed charge and a proportion of capital improved property value</w:t>
            </w:r>
          </w:p>
        </w:tc>
        <w:tc>
          <w:tcPr>
            <w:tcW w:w="2156" w:type="pct"/>
          </w:tcPr>
          <w:p w:rsidR="0032262B" w:rsidRPr="004537EA" w:rsidRDefault="0032262B" w:rsidP="0032676A">
            <w:pPr>
              <w:pStyle w:val="CGCTableStub"/>
              <w:rPr>
                <w:rFonts w:cstheme="minorHAnsi"/>
              </w:rPr>
            </w:pPr>
            <w:r>
              <w:rPr>
                <w:rFonts w:cstheme="minorHAnsi"/>
              </w:rPr>
              <w:t>Supports the State’s fire services</w:t>
            </w:r>
          </w:p>
        </w:tc>
      </w:tr>
      <w:tr w:rsidR="0032262B" w:rsidRPr="004537EA" w:rsidTr="0032676A">
        <w:tc>
          <w:tcPr>
            <w:tcW w:w="356" w:type="pct"/>
          </w:tcPr>
          <w:p w:rsidR="0032262B" w:rsidRDefault="0032262B" w:rsidP="0032676A">
            <w:pPr>
              <w:pStyle w:val="CGCTableStub"/>
              <w:rPr>
                <w:rFonts w:cstheme="minorHAnsi"/>
              </w:rPr>
            </w:pPr>
          </w:p>
        </w:tc>
        <w:tc>
          <w:tcPr>
            <w:tcW w:w="934" w:type="pct"/>
          </w:tcPr>
          <w:p w:rsidR="0032262B" w:rsidRPr="004537EA" w:rsidRDefault="0032262B" w:rsidP="0032676A">
            <w:pPr>
              <w:pStyle w:val="CGCTableStub"/>
              <w:rPr>
                <w:rFonts w:cstheme="minorHAnsi"/>
              </w:rPr>
            </w:pPr>
            <w:r>
              <w:rPr>
                <w:rFonts w:cstheme="minorHAnsi"/>
              </w:rPr>
              <w:t>Congestion levy</w:t>
            </w:r>
          </w:p>
        </w:tc>
        <w:tc>
          <w:tcPr>
            <w:tcW w:w="1554" w:type="pct"/>
          </w:tcPr>
          <w:p w:rsidR="0032262B" w:rsidRPr="004537EA" w:rsidRDefault="0032262B" w:rsidP="0032676A">
            <w:pPr>
              <w:pStyle w:val="CGCTableStub"/>
              <w:rPr>
                <w:rFonts w:cstheme="minorHAnsi"/>
              </w:rPr>
            </w:pPr>
            <w:r>
              <w:rPr>
                <w:rFonts w:cstheme="minorHAnsi"/>
              </w:rPr>
              <w:t>Fixed fee per parking space</w:t>
            </w:r>
          </w:p>
        </w:tc>
        <w:tc>
          <w:tcPr>
            <w:tcW w:w="2156" w:type="pct"/>
          </w:tcPr>
          <w:p w:rsidR="0032262B" w:rsidRPr="004537EA" w:rsidRDefault="0032262B" w:rsidP="0032676A">
            <w:pPr>
              <w:pStyle w:val="CGCTableStub"/>
              <w:rPr>
                <w:rFonts w:cstheme="minorHAnsi"/>
              </w:rPr>
            </w:pPr>
            <w:r>
              <w:rPr>
                <w:rFonts w:cstheme="minorHAnsi"/>
              </w:rPr>
              <w:t>To reduce traffic congestion</w:t>
            </w:r>
          </w:p>
        </w:tc>
      </w:tr>
      <w:tr w:rsidR="0032262B" w:rsidRPr="004537EA" w:rsidTr="0032676A">
        <w:tc>
          <w:tcPr>
            <w:tcW w:w="356" w:type="pct"/>
          </w:tcPr>
          <w:p w:rsidR="0032262B" w:rsidRPr="004537EA" w:rsidRDefault="0032262B" w:rsidP="0032676A">
            <w:pPr>
              <w:pStyle w:val="CGCTableStub"/>
              <w:rPr>
                <w:rFonts w:cstheme="minorHAnsi"/>
              </w:rPr>
            </w:pPr>
          </w:p>
        </w:tc>
        <w:tc>
          <w:tcPr>
            <w:tcW w:w="934" w:type="pct"/>
          </w:tcPr>
          <w:p w:rsidR="0032262B" w:rsidRPr="004537EA" w:rsidRDefault="0032262B" w:rsidP="0032676A">
            <w:pPr>
              <w:pStyle w:val="CGCTableStub"/>
              <w:rPr>
                <w:rFonts w:cstheme="minorHAnsi"/>
              </w:rPr>
            </w:pPr>
            <w:r>
              <w:rPr>
                <w:rFonts w:cstheme="minorHAnsi"/>
              </w:rPr>
              <w:t>Metropolitan improvement levy</w:t>
            </w:r>
          </w:p>
        </w:tc>
        <w:tc>
          <w:tcPr>
            <w:tcW w:w="1554" w:type="pct"/>
          </w:tcPr>
          <w:p w:rsidR="0032262B" w:rsidRPr="004537EA" w:rsidRDefault="0032262B" w:rsidP="0032676A">
            <w:pPr>
              <w:pStyle w:val="CGCTableStub"/>
              <w:rPr>
                <w:rFonts w:cstheme="minorHAnsi"/>
              </w:rPr>
            </w:pPr>
            <w:r>
              <w:rPr>
                <w:rFonts w:cstheme="minorHAnsi"/>
              </w:rPr>
              <w:t>Proportion of land value</w:t>
            </w:r>
          </w:p>
        </w:tc>
        <w:tc>
          <w:tcPr>
            <w:tcW w:w="2156" w:type="pct"/>
          </w:tcPr>
          <w:p w:rsidR="0032262B" w:rsidRPr="004537EA" w:rsidRDefault="0032262B" w:rsidP="0032676A">
            <w:pPr>
              <w:pStyle w:val="CGCTableStub"/>
              <w:rPr>
                <w:rFonts w:cstheme="minorHAnsi"/>
              </w:rPr>
            </w:pPr>
            <w:r>
              <w:rPr>
                <w:rFonts w:cstheme="minorHAnsi"/>
              </w:rPr>
              <w:t>Finances the development, management and maintenance of parks, gardens trails, waterways and zoos</w:t>
            </w:r>
          </w:p>
        </w:tc>
      </w:tr>
      <w:tr w:rsidR="0032262B" w:rsidRPr="004537EA" w:rsidTr="0032676A">
        <w:tc>
          <w:tcPr>
            <w:tcW w:w="356" w:type="pct"/>
          </w:tcPr>
          <w:p w:rsidR="0032262B" w:rsidRPr="004537EA" w:rsidRDefault="0032262B" w:rsidP="0032676A">
            <w:pPr>
              <w:pStyle w:val="CGCTableStub"/>
              <w:rPr>
                <w:rFonts w:cstheme="minorHAnsi"/>
              </w:rPr>
            </w:pPr>
          </w:p>
        </w:tc>
        <w:tc>
          <w:tcPr>
            <w:tcW w:w="934" w:type="pct"/>
          </w:tcPr>
          <w:p w:rsidR="0032262B" w:rsidRPr="004537EA" w:rsidRDefault="0032262B" w:rsidP="0032676A">
            <w:pPr>
              <w:pStyle w:val="CGCTableStub"/>
              <w:rPr>
                <w:rFonts w:cstheme="minorHAnsi"/>
              </w:rPr>
            </w:pPr>
            <w:r>
              <w:rPr>
                <w:rFonts w:cstheme="minorHAnsi"/>
              </w:rPr>
              <w:t>Metropolitan planning levy</w:t>
            </w:r>
          </w:p>
        </w:tc>
        <w:tc>
          <w:tcPr>
            <w:tcW w:w="1554" w:type="pct"/>
          </w:tcPr>
          <w:p w:rsidR="0032262B" w:rsidRPr="004537EA" w:rsidRDefault="0032262B" w:rsidP="0032676A">
            <w:pPr>
              <w:pStyle w:val="CGCTableStub"/>
              <w:rPr>
                <w:rFonts w:cstheme="minorHAnsi"/>
              </w:rPr>
            </w:pPr>
            <w:r>
              <w:rPr>
                <w:rFonts w:cstheme="minorHAnsi"/>
              </w:rPr>
              <w:t>Proportion of the cost of the development</w:t>
            </w:r>
          </w:p>
        </w:tc>
        <w:tc>
          <w:tcPr>
            <w:tcW w:w="2156" w:type="pct"/>
          </w:tcPr>
          <w:p w:rsidR="0032262B" w:rsidRPr="004537EA" w:rsidRDefault="0032262B" w:rsidP="0032676A">
            <w:pPr>
              <w:pStyle w:val="CGCTableStub"/>
              <w:rPr>
                <w:rFonts w:cstheme="minorHAnsi"/>
              </w:rPr>
            </w:pPr>
            <w:r>
              <w:rPr>
                <w:rFonts w:cstheme="minorHAnsi"/>
              </w:rPr>
              <w:t>Finance</w:t>
            </w:r>
            <w:r w:rsidR="00E0681C">
              <w:rPr>
                <w:rFonts w:cstheme="minorHAnsi"/>
              </w:rPr>
              <w:t>s</w:t>
            </w:r>
            <w:r>
              <w:rPr>
                <w:rFonts w:cstheme="minorHAnsi"/>
              </w:rPr>
              <w:t xml:space="preserve"> the Victorian Planning Authority</w:t>
            </w:r>
          </w:p>
        </w:tc>
      </w:tr>
      <w:tr w:rsidR="0032262B" w:rsidRPr="004537EA" w:rsidTr="0032676A">
        <w:tc>
          <w:tcPr>
            <w:tcW w:w="356" w:type="pct"/>
          </w:tcPr>
          <w:p w:rsidR="0032262B" w:rsidRPr="004537EA" w:rsidRDefault="0032262B" w:rsidP="0032676A">
            <w:pPr>
              <w:pStyle w:val="CGCTableStub"/>
              <w:rPr>
                <w:rFonts w:cstheme="minorHAnsi"/>
              </w:rPr>
            </w:pPr>
          </w:p>
        </w:tc>
        <w:tc>
          <w:tcPr>
            <w:tcW w:w="934" w:type="pct"/>
          </w:tcPr>
          <w:p w:rsidR="0032262B" w:rsidRPr="004537EA" w:rsidRDefault="0032262B" w:rsidP="0032676A">
            <w:pPr>
              <w:pStyle w:val="CGCTableStub"/>
              <w:rPr>
                <w:rFonts w:cstheme="minorHAnsi"/>
              </w:rPr>
            </w:pPr>
            <w:r>
              <w:rPr>
                <w:rFonts w:cstheme="minorHAnsi"/>
              </w:rPr>
              <w:t>Growth areas infrastructure contribution</w:t>
            </w:r>
          </w:p>
        </w:tc>
        <w:tc>
          <w:tcPr>
            <w:tcW w:w="1554" w:type="pct"/>
          </w:tcPr>
          <w:p w:rsidR="0032262B" w:rsidRPr="004537EA" w:rsidRDefault="0032262B" w:rsidP="0032676A">
            <w:pPr>
              <w:pStyle w:val="CGCTableStub"/>
              <w:rPr>
                <w:rFonts w:cstheme="minorHAnsi"/>
              </w:rPr>
            </w:pPr>
            <w:r>
              <w:rPr>
                <w:rFonts w:cstheme="minorHAnsi"/>
              </w:rPr>
              <w:t>Fixed fee per hectare</w:t>
            </w:r>
          </w:p>
        </w:tc>
        <w:tc>
          <w:tcPr>
            <w:tcW w:w="2156" w:type="pct"/>
          </w:tcPr>
          <w:p w:rsidR="0032262B" w:rsidRPr="004537EA" w:rsidRDefault="0032262B" w:rsidP="0032676A">
            <w:pPr>
              <w:pStyle w:val="CGCTableStub"/>
              <w:rPr>
                <w:rFonts w:cstheme="minorHAnsi"/>
              </w:rPr>
            </w:pPr>
            <w:r>
              <w:rPr>
                <w:rFonts w:cstheme="minorHAnsi"/>
              </w:rPr>
              <w:t>Supports infrastructure in Melbourne’s newest suburbs</w:t>
            </w:r>
          </w:p>
        </w:tc>
      </w:tr>
      <w:tr w:rsidR="0032262B" w:rsidRPr="004537EA" w:rsidTr="0032676A">
        <w:tc>
          <w:tcPr>
            <w:tcW w:w="356" w:type="pct"/>
          </w:tcPr>
          <w:p w:rsidR="0032262B" w:rsidRDefault="0032262B" w:rsidP="0032676A">
            <w:pPr>
              <w:pStyle w:val="CGCTableStub"/>
              <w:rPr>
                <w:rFonts w:cstheme="minorHAnsi"/>
              </w:rPr>
            </w:pPr>
            <w:r>
              <w:rPr>
                <w:rFonts w:cstheme="minorHAnsi"/>
              </w:rPr>
              <w:t>Qld</w:t>
            </w:r>
          </w:p>
        </w:tc>
        <w:tc>
          <w:tcPr>
            <w:tcW w:w="934" w:type="pct"/>
          </w:tcPr>
          <w:p w:rsidR="0032262B" w:rsidRDefault="0032262B" w:rsidP="0032676A">
            <w:pPr>
              <w:pStyle w:val="CGCTableStub"/>
              <w:rPr>
                <w:rFonts w:cstheme="minorHAnsi"/>
              </w:rPr>
            </w:pPr>
            <w:r>
              <w:rPr>
                <w:rFonts w:cstheme="minorHAnsi"/>
              </w:rPr>
              <w:t>Emergency management levy</w:t>
            </w:r>
          </w:p>
        </w:tc>
        <w:tc>
          <w:tcPr>
            <w:tcW w:w="1554" w:type="pct"/>
          </w:tcPr>
          <w:p w:rsidR="0032262B" w:rsidRDefault="0032262B" w:rsidP="0032676A">
            <w:pPr>
              <w:pStyle w:val="CGCTableStub"/>
              <w:rPr>
                <w:rFonts w:cstheme="minorHAnsi"/>
              </w:rPr>
            </w:pPr>
            <w:r>
              <w:rPr>
                <w:rFonts w:cstheme="minorHAnsi"/>
              </w:rPr>
              <w:t>A fixed charge per property The charge varies by property and location</w:t>
            </w:r>
          </w:p>
        </w:tc>
        <w:tc>
          <w:tcPr>
            <w:tcW w:w="2156" w:type="pct"/>
          </w:tcPr>
          <w:p w:rsidR="0032262B" w:rsidRDefault="0032262B" w:rsidP="0032676A">
            <w:pPr>
              <w:pStyle w:val="CGCTableStub"/>
              <w:rPr>
                <w:rFonts w:cstheme="minorHAnsi"/>
              </w:rPr>
            </w:pPr>
            <w:r>
              <w:rPr>
                <w:rFonts w:cstheme="minorHAnsi"/>
              </w:rPr>
              <w:t>Supports the Queensland Fire and Emergency Services</w:t>
            </w:r>
          </w:p>
        </w:tc>
      </w:tr>
      <w:tr w:rsidR="0032262B" w:rsidRPr="004537EA" w:rsidTr="0032676A">
        <w:tc>
          <w:tcPr>
            <w:tcW w:w="356" w:type="pct"/>
          </w:tcPr>
          <w:p w:rsidR="0032262B" w:rsidRDefault="0032262B" w:rsidP="0032676A">
            <w:pPr>
              <w:pStyle w:val="CGCTableStub"/>
              <w:rPr>
                <w:rFonts w:cstheme="minorHAnsi"/>
              </w:rPr>
            </w:pPr>
            <w:r>
              <w:rPr>
                <w:rFonts w:cstheme="minorHAnsi"/>
              </w:rPr>
              <w:t>WA</w:t>
            </w:r>
          </w:p>
        </w:tc>
        <w:tc>
          <w:tcPr>
            <w:tcW w:w="934" w:type="pct"/>
          </w:tcPr>
          <w:p w:rsidR="0032262B" w:rsidRDefault="0032262B" w:rsidP="0032676A">
            <w:pPr>
              <w:pStyle w:val="CGCTableStub"/>
              <w:rPr>
                <w:rFonts w:cstheme="minorHAnsi"/>
              </w:rPr>
            </w:pPr>
            <w:r>
              <w:rPr>
                <w:rFonts w:cstheme="minorHAnsi"/>
              </w:rPr>
              <w:t>Emergency services levy</w:t>
            </w:r>
          </w:p>
        </w:tc>
        <w:tc>
          <w:tcPr>
            <w:tcW w:w="1554" w:type="pct"/>
          </w:tcPr>
          <w:p w:rsidR="0032262B" w:rsidRDefault="0032262B" w:rsidP="0032676A">
            <w:pPr>
              <w:pStyle w:val="CGCTableStub"/>
              <w:rPr>
                <w:rFonts w:cstheme="minorHAnsi"/>
              </w:rPr>
            </w:pPr>
            <w:r>
              <w:rPr>
                <w:rFonts w:cstheme="minorHAnsi"/>
              </w:rPr>
              <w:t>Proportion of property’s gross rental value</w:t>
            </w:r>
          </w:p>
        </w:tc>
        <w:tc>
          <w:tcPr>
            <w:tcW w:w="2156" w:type="pct"/>
          </w:tcPr>
          <w:p w:rsidR="0032262B" w:rsidRDefault="0032262B" w:rsidP="0032676A">
            <w:pPr>
              <w:pStyle w:val="CGCTableStub"/>
              <w:rPr>
                <w:rFonts w:cstheme="minorHAnsi"/>
              </w:rPr>
            </w:pPr>
            <w:r>
              <w:rPr>
                <w:rFonts w:cstheme="minorHAnsi"/>
              </w:rPr>
              <w:t>Supports Western Australia’s fire and emergency services</w:t>
            </w:r>
          </w:p>
        </w:tc>
      </w:tr>
      <w:tr w:rsidR="0032262B" w:rsidRPr="004537EA" w:rsidTr="0032676A">
        <w:tc>
          <w:tcPr>
            <w:tcW w:w="356" w:type="pct"/>
          </w:tcPr>
          <w:p w:rsidR="0032262B" w:rsidRPr="004537EA" w:rsidRDefault="0032262B" w:rsidP="0032676A">
            <w:pPr>
              <w:pStyle w:val="CGCTableStub"/>
              <w:rPr>
                <w:rFonts w:cstheme="minorHAnsi"/>
              </w:rPr>
            </w:pPr>
          </w:p>
        </w:tc>
        <w:tc>
          <w:tcPr>
            <w:tcW w:w="934" w:type="pct"/>
          </w:tcPr>
          <w:p w:rsidR="0032262B" w:rsidRPr="004537EA" w:rsidRDefault="0032262B" w:rsidP="0032676A">
            <w:pPr>
              <w:pStyle w:val="CGCTableStub"/>
              <w:rPr>
                <w:rFonts w:cstheme="minorHAnsi"/>
              </w:rPr>
            </w:pPr>
            <w:r>
              <w:rPr>
                <w:rFonts w:cstheme="minorHAnsi"/>
              </w:rPr>
              <w:t>Metropolitan region improvement tax</w:t>
            </w:r>
          </w:p>
        </w:tc>
        <w:tc>
          <w:tcPr>
            <w:tcW w:w="1554" w:type="pct"/>
          </w:tcPr>
          <w:p w:rsidR="0032262B" w:rsidRPr="004537EA" w:rsidRDefault="0032262B" w:rsidP="0032676A">
            <w:pPr>
              <w:pStyle w:val="CGCTableStub"/>
              <w:rPr>
                <w:rFonts w:cstheme="minorHAnsi"/>
              </w:rPr>
            </w:pPr>
            <w:r>
              <w:rPr>
                <w:rFonts w:cstheme="minorHAnsi"/>
              </w:rPr>
              <w:t>Proportion of land value</w:t>
            </w:r>
          </w:p>
        </w:tc>
        <w:tc>
          <w:tcPr>
            <w:tcW w:w="2156" w:type="pct"/>
          </w:tcPr>
          <w:p w:rsidR="0032262B" w:rsidRPr="004537EA" w:rsidRDefault="0032262B" w:rsidP="0032676A">
            <w:pPr>
              <w:pStyle w:val="CGCTableStub"/>
              <w:rPr>
                <w:rFonts w:cstheme="minorHAnsi"/>
              </w:rPr>
            </w:pPr>
            <w:r>
              <w:rPr>
                <w:rFonts w:cstheme="minorHAnsi"/>
              </w:rPr>
              <w:t>Finance expenditure by the Western Australian Planning Authority on road reserves, parks, and recreation areas</w:t>
            </w:r>
          </w:p>
        </w:tc>
      </w:tr>
      <w:tr w:rsidR="0032262B" w:rsidRPr="004537EA" w:rsidTr="0032676A">
        <w:tc>
          <w:tcPr>
            <w:tcW w:w="356" w:type="pct"/>
          </w:tcPr>
          <w:p w:rsidR="0032262B" w:rsidRPr="004537EA" w:rsidRDefault="0032262B" w:rsidP="0032676A">
            <w:pPr>
              <w:pStyle w:val="CGCTableStub"/>
              <w:rPr>
                <w:rFonts w:cstheme="minorHAnsi"/>
              </w:rPr>
            </w:pPr>
          </w:p>
        </w:tc>
        <w:tc>
          <w:tcPr>
            <w:tcW w:w="934" w:type="pct"/>
          </w:tcPr>
          <w:p w:rsidR="0032262B" w:rsidRPr="004537EA" w:rsidRDefault="0032262B" w:rsidP="0032676A">
            <w:pPr>
              <w:pStyle w:val="CGCTableStub"/>
              <w:rPr>
                <w:rFonts w:cstheme="minorHAnsi"/>
              </w:rPr>
            </w:pPr>
            <w:r>
              <w:rPr>
                <w:rFonts w:cstheme="minorHAnsi"/>
              </w:rPr>
              <w:t>Perth parking levy</w:t>
            </w:r>
          </w:p>
        </w:tc>
        <w:tc>
          <w:tcPr>
            <w:tcW w:w="1554" w:type="pct"/>
          </w:tcPr>
          <w:p w:rsidR="0032262B" w:rsidRPr="004537EA" w:rsidRDefault="0032262B" w:rsidP="0032676A">
            <w:pPr>
              <w:pStyle w:val="CGCTableStub"/>
              <w:rPr>
                <w:rFonts w:cstheme="minorHAnsi"/>
              </w:rPr>
            </w:pPr>
            <w:r>
              <w:rPr>
                <w:rFonts w:cstheme="minorHAnsi"/>
              </w:rPr>
              <w:t>Fixed fee per parking space</w:t>
            </w:r>
          </w:p>
        </w:tc>
        <w:tc>
          <w:tcPr>
            <w:tcW w:w="2156" w:type="pct"/>
          </w:tcPr>
          <w:p w:rsidR="0032262B" w:rsidRPr="004537EA" w:rsidRDefault="0032262B" w:rsidP="0032676A">
            <w:pPr>
              <w:pStyle w:val="CGCTableStub"/>
              <w:rPr>
                <w:rFonts w:cstheme="minorHAnsi"/>
              </w:rPr>
            </w:pPr>
            <w:r>
              <w:rPr>
                <w:rFonts w:cstheme="minorHAnsi"/>
              </w:rPr>
              <w:t>To manage the level of private vehicle access to the city and to finance key transport infrastructure and services within central Perth</w:t>
            </w:r>
          </w:p>
        </w:tc>
      </w:tr>
      <w:tr w:rsidR="0032262B" w:rsidRPr="004537EA" w:rsidTr="0032676A">
        <w:tc>
          <w:tcPr>
            <w:tcW w:w="356" w:type="pct"/>
          </w:tcPr>
          <w:p w:rsidR="0032262B" w:rsidRPr="004537EA" w:rsidRDefault="0032262B" w:rsidP="0032676A">
            <w:pPr>
              <w:pStyle w:val="CGCTableStub"/>
              <w:rPr>
                <w:rFonts w:cstheme="minorHAnsi"/>
              </w:rPr>
            </w:pPr>
            <w:r>
              <w:rPr>
                <w:rFonts w:cstheme="minorHAnsi"/>
              </w:rPr>
              <w:t>SA</w:t>
            </w:r>
          </w:p>
        </w:tc>
        <w:tc>
          <w:tcPr>
            <w:tcW w:w="934" w:type="pct"/>
          </w:tcPr>
          <w:p w:rsidR="0032262B" w:rsidRDefault="0032262B" w:rsidP="0032676A">
            <w:pPr>
              <w:pStyle w:val="CGCTableStub"/>
              <w:rPr>
                <w:rFonts w:cstheme="minorHAnsi"/>
              </w:rPr>
            </w:pPr>
            <w:r>
              <w:rPr>
                <w:rFonts w:cstheme="minorHAnsi"/>
              </w:rPr>
              <w:t>Emergency services levy</w:t>
            </w:r>
          </w:p>
        </w:tc>
        <w:tc>
          <w:tcPr>
            <w:tcW w:w="1554" w:type="pct"/>
          </w:tcPr>
          <w:p w:rsidR="0032262B" w:rsidRDefault="0032262B" w:rsidP="0032676A">
            <w:pPr>
              <w:pStyle w:val="CGCTableStub"/>
              <w:rPr>
                <w:rFonts w:cstheme="minorHAnsi"/>
              </w:rPr>
            </w:pPr>
            <w:r>
              <w:rPr>
                <w:rFonts w:cstheme="minorHAnsi"/>
              </w:rPr>
              <w:t>Fixed charge and a proportion of property’s capital value</w:t>
            </w:r>
          </w:p>
        </w:tc>
        <w:tc>
          <w:tcPr>
            <w:tcW w:w="2156" w:type="pct"/>
          </w:tcPr>
          <w:p w:rsidR="0032262B" w:rsidRDefault="0032262B" w:rsidP="0032676A">
            <w:pPr>
              <w:pStyle w:val="CGCTableStub"/>
              <w:rPr>
                <w:rFonts w:cstheme="minorHAnsi"/>
              </w:rPr>
            </w:pPr>
            <w:r>
              <w:rPr>
                <w:rFonts w:cstheme="minorHAnsi"/>
              </w:rPr>
              <w:t>Placed into a dedicated fund for the exclusive use of the emergency services</w:t>
            </w:r>
          </w:p>
        </w:tc>
      </w:tr>
      <w:tr w:rsidR="0032262B" w:rsidRPr="004537EA" w:rsidTr="0032676A">
        <w:tc>
          <w:tcPr>
            <w:tcW w:w="356" w:type="pct"/>
          </w:tcPr>
          <w:p w:rsidR="0032262B" w:rsidRPr="004537EA" w:rsidRDefault="0032262B" w:rsidP="0032676A">
            <w:pPr>
              <w:pStyle w:val="CGCTableStub"/>
              <w:rPr>
                <w:rFonts w:cstheme="minorHAnsi"/>
              </w:rPr>
            </w:pPr>
            <w:r>
              <w:rPr>
                <w:rFonts w:cstheme="minorHAnsi"/>
              </w:rPr>
              <w:t>Tas</w:t>
            </w:r>
          </w:p>
        </w:tc>
        <w:tc>
          <w:tcPr>
            <w:tcW w:w="934" w:type="pct"/>
          </w:tcPr>
          <w:p w:rsidR="0032262B" w:rsidRDefault="0032262B" w:rsidP="0032676A">
            <w:pPr>
              <w:pStyle w:val="CGCTableStub"/>
              <w:rPr>
                <w:rFonts w:cstheme="minorHAnsi"/>
              </w:rPr>
            </w:pPr>
            <w:r>
              <w:rPr>
                <w:rFonts w:cstheme="minorHAnsi"/>
              </w:rPr>
              <w:t>Fire services levy</w:t>
            </w:r>
          </w:p>
        </w:tc>
        <w:tc>
          <w:tcPr>
            <w:tcW w:w="1554" w:type="pct"/>
          </w:tcPr>
          <w:p w:rsidR="0032262B" w:rsidRDefault="0032262B" w:rsidP="0032676A">
            <w:pPr>
              <w:pStyle w:val="CGCTableStub"/>
              <w:rPr>
                <w:rFonts w:cstheme="minorHAnsi"/>
              </w:rPr>
            </w:pPr>
            <w:r>
              <w:rPr>
                <w:rFonts w:cstheme="minorHAnsi"/>
              </w:rPr>
              <w:t>Proportion of property’s assessed annual value</w:t>
            </w:r>
          </w:p>
        </w:tc>
        <w:tc>
          <w:tcPr>
            <w:tcW w:w="2156" w:type="pct"/>
          </w:tcPr>
          <w:p w:rsidR="0032262B" w:rsidRDefault="0032262B" w:rsidP="0032676A">
            <w:pPr>
              <w:pStyle w:val="CGCTableStub"/>
              <w:rPr>
                <w:rFonts w:cstheme="minorHAnsi"/>
              </w:rPr>
            </w:pPr>
            <w:r>
              <w:rPr>
                <w:rFonts w:cstheme="minorHAnsi"/>
              </w:rPr>
              <w:t>Finances the Tasmania Fire Service</w:t>
            </w:r>
          </w:p>
        </w:tc>
      </w:tr>
      <w:tr w:rsidR="0032262B" w:rsidRPr="004537EA" w:rsidTr="0032676A">
        <w:tc>
          <w:tcPr>
            <w:tcW w:w="356" w:type="pct"/>
          </w:tcPr>
          <w:p w:rsidR="0032262B" w:rsidRDefault="0032262B" w:rsidP="0032676A">
            <w:pPr>
              <w:pStyle w:val="CGCTableStub"/>
              <w:rPr>
                <w:rFonts w:cstheme="minorHAnsi"/>
              </w:rPr>
            </w:pPr>
            <w:r>
              <w:rPr>
                <w:rFonts w:cstheme="minorHAnsi"/>
              </w:rPr>
              <w:t>ACT</w:t>
            </w:r>
          </w:p>
        </w:tc>
        <w:tc>
          <w:tcPr>
            <w:tcW w:w="934" w:type="pct"/>
          </w:tcPr>
          <w:p w:rsidR="0032262B" w:rsidRDefault="0032262B" w:rsidP="0032676A">
            <w:pPr>
              <w:pStyle w:val="CGCTableStub"/>
              <w:rPr>
                <w:rFonts w:cstheme="minorHAnsi"/>
              </w:rPr>
            </w:pPr>
            <w:r>
              <w:rPr>
                <w:rFonts w:cstheme="minorHAnsi"/>
              </w:rPr>
              <w:t>Fire and emergency services levy</w:t>
            </w:r>
          </w:p>
        </w:tc>
        <w:tc>
          <w:tcPr>
            <w:tcW w:w="1554" w:type="pct"/>
          </w:tcPr>
          <w:p w:rsidR="0032262B" w:rsidRDefault="0032262B" w:rsidP="0032676A">
            <w:pPr>
              <w:pStyle w:val="CGCTableStub"/>
              <w:rPr>
                <w:rFonts w:cstheme="minorHAnsi"/>
              </w:rPr>
            </w:pPr>
            <w:r>
              <w:rPr>
                <w:rFonts w:cstheme="minorHAnsi"/>
              </w:rPr>
              <w:t>Fixed charge and a proportion of a property’s average unimproved value</w:t>
            </w:r>
          </w:p>
        </w:tc>
        <w:tc>
          <w:tcPr>
            <w:tcW w:w="2156" w:type="pct"/>
          </w:tcPr>
          <w:p w:rsidR="0032262B" w:rsidRDefault="0032262B" w:rsidP="0032676A">
            <w:pPr>
              <w:pStyle w:val="CGCTableStub"/>
              <w:rPr>
                <w:rFonts w:cstheme="minorHAnsi"/>
              </w:rPr>
            </w:pPr>
            <w:r>
              <w:rPr>
                <w:rFonts w:cstheme="minorHAnsi"/>
              </w:rPr>
              <w:t>Finances all fire and emergency services</w:t>
            </w:r>
          </w:p>
        </w:tc>
      </w:tr>
      <w:tr w:rsidR="0032262B" w:rsidRPr="004537EA" w:rsidTr="0032676A">
        <w:tc>
          <w:tcPr>
            <w:tcW w:w="356" w:type="pct"/>
            <w:tcBorders>
              <w:bottom w:val="single" w:sz="6" w:space="0" w:color="auto"/>
            </w:tcBorders>
          </w:tcPr>
          <w:p w:rsidR="0032262B" w:rsidRPr="004537EA" w:rsidRDefault="0032262B" w:rsidP="0032676A">
            <w:pPr>
              <w:pStyle w:val="CGCTableStub"/>
              <w:rPr>
                <w:rFonts w:cstheme="minorHAnsi"/>
              </w:rPr>
            </w:pPr>
          </w:p>
        </w:tc>
        <w:tc>
          <w:tcPr>
            <w:tcW w:w="934" w:type="pct"/>
            <w:tcBorders>
              <w:bottom w:val="single" w:sz="6" w:space="0" w:color="auto"/>
            </w:tcBorders>
          </w:tcPr>
          <w:p w:rsidR="0032262B" w:rsidRPr="004537EA" w:rsidRDefault="0032262B" w:rsidP="0032676A">
            <w:pPr>
              <w:pStyle w:val="CGCTableStub"/>
              <w:rPr>
                <w:rFonts w:cstheme="minorHAnsi"/>
              </w:rPr>
            </w:pPr>
            <w:r>
              <w:rPr>
                <w:rFonts w:cstheme="minorHAnsi"/>
              </w:rPr>
              <w:t>City centre marketing improvements levy</w:t>
            </w:r>
          </w:p>
        </w:tc>
        <w:tc>
          <w:tcPr>
            <w:tcW w:w="1554" w:type="pct"/>
            <w:tcBorders>
              <w:bottom w:val="single" w:sz="6" w:space="0" w:color="auto"/>
            </w:tcBorders>
          </w:tcPr>
          <w:p w:rsidR="0032262B" w:rsidRPr="004537EA" w:rsidRDefault="0032262B" w:rsidP="0032676A">
            <w:pPr>
              <w:pStyle w:val="CGCTableStub"/>
              <w:rPr>
                <w:rFonts w:cstheme="minorHAnsi"/>
              </w:rPr>
            </w:pPr>
            <w:r>
              <w:rPr>
                <w:rFonts w:cstheme="minorHAnsi"/>
              </w:rPr>
              <w:t>Proportion of land value</w:t>
            </w:r>
          </w:p>
        </w:tc>
        <w:tc>
          <w:tcPr>
            <w:tcW w:w="2156" w:type="pct"/>
            <w:tcBorders>
              <w:bottom w:val="single" w:sz="6" w:space="0" w:color="auto"/>
            </w:tcBorders>
          </w:tcPr>
          <w:p w:rsidR="0032262B" w:rsidRPr="004537EA" w:rsidRDefault="0032262B" w:rsidP="0032676A">
            <w:pPr>
              <w:pStyle w:val="CGCTableStub"/>
              <w:rPr>
                <w:rFonts w:cstheme="minorHAnsi"/>
              </w:rPr>
            </w:pPr>
            <w:r>
              <w:rPr>
                <w:rFonts w:cstheme="minorHAnsi"/>
              </w:rPr>
              <w:t>Finance events, promote activities, capital improvements and provide cleaning an</w:t>
            </w:r>
            <w:r w:rsidR="00163DD4">
              <w:rPr>
                <w:rFonts w:cstheme="minorHAnsi"/>
              </w:rPr>
              <w:t>d</w:t>
            </w:r>
            <w:r>
              <w:rPr>
                <w:rFonts w:cstheme="minorHAnsi"/>
              </w:rPr>
              <w:t xml:space="preserve"> security services in the City and Braddon districts</w:t>
            </w:r>
          </w:p>
        </w:tc>
      </w:tr>
    </w:tbl>
    <w:p w:rsidR="0032262B" w:rsidRDefault="0032262B" w:rsidP="0032262B">
      <w:pPr>
        <w:pStyle w:val="CGCTableFootnote"/>
      </w:pPr>
      <w:r>
        <w:t>Source:</w:t>
      </w:r>
      <w:r>
        <w:tab/>
        <w:t>State budget papers.</w:t>
      </w:r>
    </w:p>
    <w:p w:rsidR="0032262B" w:rsidRDefault="0032262B" w:rsidP="0032262B">
      <w:pPr>
        <w:pStyle w:val="CGCNumberedPara"/>
        <w:numPr>
          <w:ilvl w:val="0"/>
          <w:numId w:val="0"/>
        </w:numPr>
        <w:ind w:left="567" w:hanging="567"/>
      </w:pPr>
    </w:p>
    <w:p w:rsidR="007C54FD" w:rsidRDefault="007C54FD" w:rsidP="0032262B">
      <w:pPr>
        <w:pStyle w:val="CGCNumberedPara"/>
        <w:numPr>
          <w:ilvl w:val="0"/>
          <w:numId w:val="0"/>
        </w:numPr>
        <w:ind w:left="567" w:hanging="567"/>
      </w:pPr>
    </w:p>
    <w:p w:rsidR="007C54FD" w:rsidRDefault="007C54FD" w:rsidP="007C54FD">
      <w:pPr>
        <w:pStyle w:val="CGCNumberedPara"/>
        <w:numPr>
          <w:ilvl w:val="1"/>
          <w:numId w:val="3"/>
        </w:numPr>
      </w:pPr>
      <w:r w:rsidRPr="00795F28">
        <w:rPr>
          <w:rStyle w:val="Heading6Char"/>
        </w:rPr>
        <w:t>What is a user charge?</w:t>
      </w:r>
      <w:r>
        <w:t xml:space="preserve"> In its Government Finance Statistics (GFS) the ABS describes:</w:t>
      </w:r>
    </w:p>
    <w:p w:rsidR="007C54FD" w:rsidRDefault="007C54FD" w:rsidP="007C54FD">
      <w:pPr>
        <w:pStyle w:val="CGCBulletlist"/>
        <w:numPr>
          <w:ilvl w:val="0"/>
          <w:numId w:val="1"/>
        </w:numPr>
        <w:tabs>
          <w:tab w:val="clear" w:pos="927"/>
        </w:tabs>
        <w:ind w:left="1134" w:hanging="567"/>
      </w:pPr>
      <w:r>
        <w:t>tax revenue as revenue arising from compulsory levies imposed by government. There is usually no clear and direct link between the payment of taxes and the provision of goods and services</w:t>
      </w:r>
    </w:p>
    <w:p w:rsidR="007C54FD" w:rsidRDefault="007C54FD" w:rsidP="007C54FD">
      <w:pPr>
        <w:pStyle w:val="CGCBulletlist"/>
        <w:numPr>
          <w:ilvl w:val="0"/>
          <w:numId w:val="1"/>
        </w:numPr>
        <w:tabs>
          <w:tab w:val="clear" w:pos="927"/>
        </w:tabs>
        <w:ind w:left="1134" w:hanging="567"/>
      </w:pPr>
      <w:r>
        <w:t>a user charge is voluntary and requited. That is, the person who pays the charge gets something specific in return.</w:t>
      </w:r>
    </w:p>
    <w:p w:rsidR="0032262B" w:rsidRDefault="0032262B" w:rsidP="0032262B">
      <w:pPr>
        <w:pStyle w:val="CGCNumberedPara"/>
        <w:numPr>
          <w:ilvl w:val="1"/>
          <w:numId w:val="3"/>
        </w:numPr>
      </w:pPr>
      <w:r>
        <w:t>The Henry Tax Review agreed, saying user charges represent voluntary exchanges, while taxes rel</w:t>
      </w:r>
      <w:r w:rsidR="00E0681C">
        <w:t>y</w:t>
      </w:r>
      <w:r>
        <w:t xml:space="preserve"> on the coercive powers of the government.</w:t>
      </w:r>
      <w:r>
        <w:rPr>
          <w:rStyle w:val="FootnoteReference"/>
        </w:rPr>
        <w:footnoteReference w:id="7"/>
      </w:r>
    </w:p>
    <w:p w:rsidR="0032262B" w:rsidRDefault="0032262B" w:rsidP="0032262B">
      <w:pPr>
        <w:pStyle w:val="CGCNumberedPara"/>
        <w:numPr>
          <w:ilvl w:val="1"/>
          <w:numId w:val="3"/>
        </w:numPr>
      </w:pPr>
      <w:r>
        <w:t>The land based taxes that appear to satisfy this user charge definition are:</w:t>
      </w:r>
    </w:p>
    <w:p w:rsidR="0032262B" w:rsidRDefault="0032262B" w:rsidP="0032262B">
      <w:pPr>
        <w:pStyle w:val="CGCBulletlist"/>
        <w:numPr>
          <w:ilvl w:val="0"/>
          <w:numId w:val="1"/>
        </w:numPr>
        <w:tabs>
          <w:tab w:val="clear" w:pos="927"/>
        </w:tabs>
        <w:ind w:left="1134" w:hanging="567"/>
      </w:pPr>
      <w:r>
        <w:t>planning levies</w:t>
      </w:r>
    </w:p>
    <w:p w:rsidR="0032262B" w:rsidRDefault="0032262B" w:rsidP="0032262B">
      <w:pPr>
        <w:pStyle w:val="CGCBulletlist"/>
        <w:numPr>
          <w:ilvl w:val="0"/>
          <w:numId w:val="1"/>
        </w:numPr>
        <w:tabs>
          <w:tab w:val="clear" w:pos="927"/>
        </w:tabs>
        <w:ind w:left="1134" w:hanging="567"/>
      </w:pPr>
      <w:r>
        <w:t xml:space="preserve">development levies (not shown in </w:t>
      </w:r>
      <w:r>
        <w:fldChar w:fldCharType="begin"/>
      </w:r>
      <w:r>
        <w:instrText xml:space="preserve"> REF _Ref498679815 \h </w:instrText>
      </w:r>
      <w:r>
        <w:fldChar w:fldCharType="separate"/>
      </w:r>
      <w:r w:rsidR="002839F7">
        <w:t>Table </w:t>
      </w:r>
      <w:r w:rsidR="002839F7">
        <w:rPr>
          <w:noProof/>
        </w:rPr>
        <w:t>4</w:t>
      </w:r>
      <w:r>
        <w:fldChar w:fldCharType="end"/>
      </w:r>
      <w:r>
        <w:t>)</w:t>
      </w:r>
    </w:p>
    <w:p w:rsidR="0032262B" w:rsidRDefault="0032262B" w:rsidP="0032262B">
      <w:pPr>
        <w:pStyle w:val="CGCBulletlist"/>
        <w:numPr>
          <w:ilvl w:val="0"/>
          <w:numId w:val="1"/>
        </w:numPr>
        <w:tabs>
          <w:tab w:val="clear" w:pos="927"/>
        </w:tabs>
        <w:ind w:left="1134" w:hanging="567"/>
      </w:pPr>
      <w:r>
        <w:t>Victoria’s Growth areas infrastructure contribution.</w:t>
      </w:r>
    </w:p>
    <w:p w:rsidR="0032262B" w:rsidRDefault="0032262B" w:rsidP="0032262B">
      <w:pPr>
        <w:pStyle w:val="CGCNumberedPara"/>
        <w:numPr>
          <w:ilvl w:val="1"/>
          <w:numId w:val="3"/>
        </w:numPr>
      </w:pPr>
      <w:r>
        <w:t>Planning levies and development levies are required before permits are issued. Liability for Victoria’s Growth areas infrastructure contribution arises when an event is triggered, such as transfer of title, subdivisions or building permits.</w:t>
      </w:r>
    </w:p>
    <w:p w:rsidR="007F70E0" w:rsidRDefault="007F70E0" w:rsidP="0032262B">
      <w:pPr>
        <w:pStyle w:val="CGCNumberedPara"/>
        <w:numPr>
          <w:ilvl w:val="1"/>
          <w:numId w:val="3"/>
        </w:numPr>
      </w:pPr>
      <w:r>
        <w:t xml:space="preserve">Commission staff do not consider that the hypothecation of revenue from FESLs satisfies the definition of a user charge. Those paying a FESL do not </w:t>
      </w:r>
      <w:r w:rsidR="00E0681C">
        <w:t xml:space="preserve">receive </w:t>
      </w:r>
      <w:r>
        <w:t>something specific in return — they do not ‘automatically’ receive fire and emergency services.</w:t>
      </w:r>
    </w:p>
    <w:p w:rsidR="0032262B" w:rsidRDefault="0032262B" w:rsidP="0032262B">
      <w:pPr>
        <w:pStyle w:val="CGCNumberedPara"/>
        <w:numPr>
          <w:ilvl w:val="1"/>
          <w:numId w:val="3"/>
        </w:numPr>
      </w:pPr>
      <w:r>
        <w:t>Commission staff propose to recommend the Commission treat planning and development levies and Victoria’s Growth areas infrastructure contribution as user charges and exclude them from the Land revenue category.</w:t>
      </w:r>
    </w:p>
    <w:p w:rsidR="0032262B" w:rsidRDefault="0032262B" w:rsidP="0032262B">
      <w:pPr>
        <w:pStyle w:val="CGCNumberedPara"/>
        <w:numPr>
          <w:ilvl w:val="1"/>
          <w:numId w:val="3"/>
        </w:numPr>
      </w:pPr>
      <w:r>
        <w:rPr>
          <w:rStyle w:val="Heading6Char"/>
        </w:rPr>
        <w:t>Revenue of another level of government.</w:t>
      </w:r>
      <w:r>
        <w:t xml:space="preserve"> As part of its tax reforms, the ACT is phasing out conveyance duty and replacing it with general rates. General rates are normally a local government tax, but the ACT does not have a separate local government sector. When local governments raise land based taxes on behalf of State governments (for example, their collection of property based FESLs), the revenue raised is included in the Land revenue category.</w:t>
      </w:r>
    </w:p>
    <w:p w:rsidR="0032262B" w:rsidRDefault="0032262B" w:rsidP="0032262B">
      <w:pPr>
        <w:pStyle w:val="CGCNumberedPara"/>
        <w:numPr>
          <w:ilvl w:val="1"/>
          <w:numId w:val="3"/>
        </w:numPr>
      </w:pPr>
      <w:r>
        <w:t>In the 2015 Review, South Australia and the ACT said the replacement revenue should be included in the Land revenue category as this treatment would be similar to the treatment of property based FESLs. The Commission agreed. It included the revenue in the general property component because the ACT imposed its replacement revenue on all properties and the value of a land owner’s land holdings w</w:t>
      </w:r>
      <w:r w:rsidR="00E0681C">
        <w:t>as</w:t>
      </w:r>
      <w:r>
        <w:t xml:space="preserve"> not aggregated.</w:t>
      </w:r>
    </w:p>
    <w:p w:rsidR="0032262B" w:rsidRDefault="0032262B" w:rsidP="0032262B">
      <w:pPr>
        <w:pStyle w:val="CGCNumberedPara"/>
        <w:numPr>
          <w:ilvl w:val="1"/>
          <w:numId w:val="3"/>
        </w:numPr>
      </w:pPr>
      <w:r>
        <w:t>The replacement revenue is material for the ACT ($25 million or $65 per capita in 2015</w:t>
      </w:r>
      <w:r>
        <w:noBreakHyphen/>
        <w:t>16). Commission staff propose to continue including the revenue, provided the ACT is able to provide an estimate of it.</w:t>
      </w:r>
    </w:p>
    <w:p w:rsidR="0032262B" w:rsidRDefault="0032262B" w:rsidP="0032262B">
      <w:pPr>
        <w:pStyle w:val="CGCNumberedPara"/>
        <w:numPr>
          <w:ilvl w:val="1"/>
          <w:numId w:val="3"/>
        </w:numPr>
      </w:pPr>
      <w:r>
        <w:rPr>
          <w:rStyle w:val="Heading6Char"/>
        </w:rPr>
        <w:t>Should all FESLs be assessed in the same way</w:t>
      </w:r>
      <w:r w:rsidRPr="00795F28">
        <w:rPr>
          <w:rStyle w:val="Heading6Char"/>
        </w:rPr>
        <w:t>?</w:t>
      </w:r>
      <w:r>
        <w:t xml:space="preserve"> States impose FESLs on property, insurance products and motor vehicles. In recent years, a number of States have replaced their insurance based FESLs with property based FESLs.</w:t>
      </w:r>
    </w:p>
    <w:p w:rsidR="0032262B" w:rsidRDefault="0032262B" w:rsidP="0032262B">
      <w:pPr>
        <w:pStyle w:val="CGCNumberedPara"/>
        <w:numPr>
          <w:ilvl w:val="1"/>
          <w:numId w:val="3"/>
        </w:numPr>
      </w:pPr>
      <w:r>
        <w:t>In the 2015 Review, New South Wales and Victoria said all FESLs should be assessed together, regardless how they were collected. They said it would undermine policy neutrality if a State’s choice on how to raise FESLs led to a different assessment.</w:t>
      </w:r>
    </w:p>
    <w:p w:rsidR="0032262B" w:rsidRDefault="0032262B" w:rsidP="0032262B">
      <w:pPr>
        <w:pStyle w:val="CGCNumberedPara"/>
        <w:numPr>
          <w:ilvl w:val="1"/>
          <w:numId w:val="3"/>
        </w:numPr>
      </w:pPr>
      <w:r>
        <w:t xml:space="preserve">An alternative view is that property based FESLs broadly target landowners and policy neutrality would </w:t>
      </w:r>
      <w:r w:rsidR="007C54FD">
        <w:t xml:space="preserve">be </w:t>
      </w:r>
      <w:r>
        <w:t>undermined if similar land based taxes were treated differently. New South Wales’ recent experience, in deciding not to move to a property based FESL, would suggest property based and insurance based FESLs are not the same.</w:t>
      </w:r>
    </w:p>
    <w:p w:rsidR="0032262B" w:rsidRDefault="0032262B" w:rsidP="0032262B">
      <w:pPr>
        <w:pStyle w:val="CGCNumberedPara"/>
        <w:numPr>
          <w:ilvl w:val="1"/>
          <w:numId w:val="3"/>
        </w:numPr>
      </w:pPr>
      <w:r>
        <w:t xml:space="preserve">The definition of average policy used by the Commission in the </w:t>
      </w:r>
      <w:r>
        <w:rPr>
          <w:szCs w:val="22"/>
        </w:rPr>
        <w:t>2015 Review</w:t>
      </w:r>
      <w:r>
        <w:t xml:space="preserve"> led to property based FESLs being assessed with other land based taxes. As the Commission is retaining this definition for the </w:t>
      </w:r>
      <w:r>
        <w:rPr>
          <w:szCs w:val="22"/>
        </w:rPr>
        <w:t>2020 Review</w:t>
      </w:r>
      <w:r>
        <w:t>, Commission staff propose to recommend the Commission assess property based FESLs in the Land revenue category, insurance based FESLs in the Insurance tax category and motor vehicle based FESLs in the Motor taxes category.</w:t>
      </w:r>
    </w:p>
    <w:p w:rsidR="0032262B" w:rsidRDefault="0032262B" w:rsidP="0032262B"/>
    <w:tbl>
      <w:tblPr>
        <w:tblW w:w="0" w:type="auto"/>
        <w:tblInd w:w="108" w:type="dxa"/>
        <w:shd w:val="clear" w:color="auto" w:fill="D9F3E6"/>
        <w:tblLook w:val="04A0" w:firstRow="1" w:lastRow="0" w:firstColumn="1" w:lastColumn="0" w:noHBand="0" w:noVBand="1"/>
      </w:tblPr>
      <w:tblGrid>
        <w:gridCol w:w="8931"/>
      </w:tblGrid>
      <w:tr w:rsidR="0032262B" w:rsidRPr="00E674AF" w:rsidTr="0032676A">
        <w:tc>
          <w:tcPr>
            <w:tcW w:w="8931" w:type="dxa"/>
            <w:shd w:val="clear" w:color="auto" w:fill="D9F3E6"/>
          </w:tcPr>
          <w:p w:rsidR="0032262B" w:rsidRPr="00E674AF" w:rsidRDefault="0032262B" w:rsidP="0032676A">
            <w:r w:rsidRPr="00B7517F">
              <w:t>Staff propose to recommend the Commission:</w:t>
            </w:r>
          </w:p>
          <w:p w:rsidR="0032262B" w:rsidRPr="00E674AF" w:rsidRDefault="0032262B" w:rsidP="0032676A">
            <w:pPr>
              <w:pStyle w:val="CGCBulletlist"/>
              <w:numPr>
                <w:ilvl w:val="0"/>
                <w:numId w:val="1"/>
              </w:numPr>
              <w:tabs>
                <w:tab w:val="clear" w:pos="927"/>
                <w:tab w:val="clear" w:pos="1134"/>
              </w:tabs>
              <w:ind w:left="1134" w:hanging="567"/>
            </w:pPr>
            <w:r>
              <w:t>include all land based taxes in the Land revenue category, except those taxes deemed to be user charges</w:t>
            </w:r>
          </w:p>
          <w:p w:rsidR="0032262B" w:rsidRDefault="0032262B" w:rsidP="0032262B">
            <w:pPr>
              <w:pStyle w:val="CGCSubbulletlist"/>
              <w:numPr>
                <w:ilvl w:val="0"/>
                <w:numId w:val="4"/>
              </w:numPr>
              <w:tabs>
                <w:tab w:val="clear" w:pos="927"/>
              </w:tabs>
              <w:ind w:left="1701" w:hanging="567"/>
            </w:pPr>
            <w:r>
              <w:t>treat planning and development levies and Victoria’s Growth areas infrastructure contribution as user charges</w:t>
            </w:r>
          </w:p>
          <w:p w:rsidR="0032262B" w:rsidRDefault="0032262B" w:rsidP="0032676A">
            <w:pPr>
              <w:pStyle w:val="CGCBulletlist"/>
              <w:numPr>
                <w:ilvl w:val="0"/>
                <w:numId w:val="1"/>
              </w:numPr>
              <w:tabs>
                <w:tab w:val="clear" w:pos="927"/>
                <w:tab w:val="clear" w:pos="1134"/>
              </w:tabs>
              <w:ind w:left="1134" w:hanging="567"/>
            </w:pPr>
            <w:r>
              <w:t>include ACT replacement revenue in the category, provided the ACT can provide an estimate of the revenue</w:t>
            </w:r>
          </w:p>
          <w:p w:rsidR="0032262B" w:rsidRPr="00E674AF" w:rsidRDefault="0032262B" w:rsidP="0032676A">
            <w:pPr>
              <w:pStyle w:val="CGCBulletlist"/>
              <w:numPr>
                <w:ilvl w:val="0"/>
                <w:numId w:val="1"/>
              </w:numPr>
              <w:tabs>
                <w:tab w:val="clear" w:pos="927"/>
                <w:tab w:val="clear" w:pos="1134"/>
              </w:tabs>
              <w:ind w:left="1134" w:hanging="567"/>
            </w:pPr>
            <w:r>
              <w:t>include property based FESLs in the Land revenue category, insurance based FESLs in the Insurance tax category and motor vehicle based FESLs in the Motor taxes category.</w:t>
            </w:r>
          </w:p>
        </w:tc>
      </w:tr>
    </w:tbl>
    <w:p w:rsidR="0032262B" w:rsidRDefault="0032262B" w:rsidP="0032262B">
      <w:pPr>
        <w:pStyle w:val="CGCNumberedPara"/>
        <w:numPr>
          <w:ilvl w:val="0"/>
          <w:numId w:val="0"/>
        </w:numPr>
        <w:ind w:left="567" w:hanging="567"/>
      </w:pPr>
    </w:p>
    <w:p w:rsidR="0032262B" w:rsidRDefault="0032676A" w:rsidP="0032262B">
      <w:pPr>
        <w:pStyle w:val="Heading4"/>
      </w:pPr>
      <w:bookmarkStart w:id="20" w:name="_Toc511824722"/>
      <w:r>
        <w:t xml:space="preserve">What are the drivers of </w:t>
      </w:r>
      <w:r w:rsidR="0032262B">
        <w:t>revenue capacity?</w:t>
      </w:r>
      <w:bookmarkEnd w:id="20"/>
    </w:p>
    <w:p w:rsidR="0032262B" w:rsidRDefault="0032262B" w:rsidP="0032262B">
      <w:pPr>
        <w:pStyle w:val="CGCNumberedPara"/>
        <w:numPr>
          <w:ilvl w:val="1"/>
          <w:numId w:val="3"/>
        </w:numPr>
      </w:pPr>
      <w:r>
        <w:t>Under a tax base approach, revenue capacity should be measured using the tax base that States use to impose land based taxes — land values or adjusted land values.</w:t>
      </w:r>
    </w:p>
    <w:p w:rsidR="0032262B" w:rsidRDefault="0032262B" w:rsidP="0032262B">
      <w:pPr>
        <w:pStyle w:val="CGCNumberedPara"/>
        <w:numPr>
          <w:ilvl w:val="1"/>
          <w:numId w:val="3"/>
        </w:numPr>
      </w:pPr>
      <w:r>
        <w:t>Western Australia disagrees. It said that land values are policy influenced. It said its</w:t>
      </w:r>
    </w:p>
    <w:p w:rsidR="0032262B" w:rsidRDefault="0032262B" w:rsidP="0032262B">
      <w:pPr>
        <w:pStyle w:val="CGCQuotation"/>
      </w:pPr>
      <w:r>
        <w:t>‘land tax policy over the past decade illustrates that State tax bases are simply a means of taxing the capacity to pay of the community’.</w:t>
      </w:r>
      <w:r>
        <w:rPr>
          <w:rStyle w:val="FootnoteReference"/>
        </w:rPr>
        <w:footnoteReference w:id="8"/>
      </w:r>
    </w:p>
    <w:p w:rsidR="0032262B" w:rsidRDefault="0032262B" w:rsidP="0032262B">
      <w:pPr>
        <w:pStyle w:val="CGCNumberedPara"/>
        <w:numPr>
          <w:ilvl w:val="1"/>
          <w:numId w:val="3"/>
        </w:numPr>
      </w:pPr>
      <w:r>
        <w:t>It argued that States change their land tax rates when land values rise faster than the community’s capacity to pay land tax. In response to land value movements, Western Australia reduced its land tax rates between 2004-05 to 2008-09, left them unchanged between 2009-10 and 2012-13 and increased them between 2014-15 and 2015-16.</w:t>
      </w:r>
      <w:r w:rsidRPr="000F327E">
        <w:t xml:space="preserve"> </w:t>
      </w:r>
      <w:r>
        <w:t>Most States have altered their rates and/or threshold levels in the last decade.</w:t>
      </w:r>
    </w:p>
    <w:p w:rsidR="0032262B" w:rsidRDefault="0032262B" w:rsidP="0032262B">
      <w:pPr>
        <w:pStyle w:val="CGCNumberedPara"/>
        <w:numPr>
          <w:ilvl w:val="1"/>
          <w:numId w:val="3"/>
        </w:numPr>
      </w:pPr>
      <w:r>
        <w:t>Most State financial and assessment data are subject to some policy influence. A complete</w:t>
      </w:r>
      <w:r w:rsidR="00163DD4">
        <w:t>ly</w:t>
      </w:r>
      <w:r>
        <w:t xml:space="preserve"> policy neutral approach would require the Commission</w:t>
      </w:r>
      <w:r w:rsidR="00163DD4">
        <w:t xml:space="preserve"> to</w:t>
      </w:r>
      <w:r>
        <w:t xml:space="preserve"> use external standards for its financial standards and disability assessments. In its position paper on ‘</w:t>
      </w:r>
      <w:r w:rsidRPr="00CC7168">
        <w:rPr>
          <w:i/>
        </w:rPr>
        <w:t>The principle of HFE and its implementation</w:t>
      </w:r>
      <w:r>
        <w:t>’, the Commission said:</w:t>
      </w:r>
    </w:p>
    <w:p w:rsidR="0032262B" w:rsidRDefault="0032262B" w:rsidP="0032262B">
      <w:pPr>
        <w:pStyle w:val="CGCQuotation"/>
      </w:pPr>
      <w:r>
        <w:t>The Commission continues to have a strong preference for internal standards. However, in circumstances of extreme policy non-neutrality, where it is difficult to determine what average policy would be, the Commission may consider the use of external standards, if another suitable resolution cannot be found.</w:t>
      </w:r>
      <w:r>
        <w:rPr>
          <w:rStyle w:val="FootnoteReference"/>
        </w:rPr>
        <w:footnoteReference w:id="9"/>
      </w:r>
    </w:p>
    <w:p w:rsidR="0032262B" w:rsidRDefault="0032262B" w:rsidP="0032262B">
      <w:pPr>
        <w:pStyle w:val="CGCNumberedPara"/>
        <w:numPr>
          <w:ilvl w:val="1"/>
          <w:numId w:val="3"/>
        </w:numPr>
      </w:pPr>
      <w:r>
        <w:t>It also said:</w:t>
      </w:r>
    </w:p>
    <w:p w:rsidR="0032262B" w:rsidRDefault="0032262B" w:rsidP="0032262B">
      <w:pPr>
        <w:pStyle w:val="CGCQuotation"/>
      </w:pPr>
      <w:r>
        <w:t>The Commission does not agree with the view that HFE can only be achieved with complete policy neutrality.</w:t>
      </w:r>
      <w:r>
        <w:rPr>
          <w:rStyle w:val="FootnoteReference"/>
        </w:rPr>
        <w:footnoteReference w:id="10"/>
      </w:r>
    </w:p>
    <w:p w:rsidR="0032262B" w:rsidRDefault="0032262B" w:rsidP="0032262B">
      <w:pPr>
        <w:pStyle w:val="CGCNumberedPara"/>
        <w:numPr>
          <w:ilvl w:val="1"/>
          <w:numId w:val="3"/>
        </w:numPr>
      </w:pPr>
      <w:r>
        <w:t>While Commission staff accept State policies can affect land revenue and land values, the question is whether State policies are so different as to have a material and differential effect on State land values. If there was evidence of this, the Commission may have to reconsider the reliability of land value data.</w:t>
      </w:r>
    </w:p>
    <w:p w:rsidR="0032262B" w:rsidRDefault="0032262B" w:rsidP="0032262B">
      <w:pPr>
        <w:pStyle w:val="CGCNumberedPara"/>
        <w:numPr>
          <w:ilvl w:val="1"/>
          <w:numId w:val="3"/>
        </w:numPr>
      </w:pPr>
      <w:r>
        <w:t>However, the Commission has used land value</w:t>
      </w:r>
      <w:r w:rsidR="007C54FD">
        <w:t>s</w:t>
      </w:r>
      <w:r>
        <w:t xml:space="preserve"> as its capacity measure in each of its methodology reviews. It is unclear what other measure of capacity the Commission could use that is less policy influenced but still captures differences in States’ revenue raising capacity. Commission staff propose to recommend the Commission continue to use land value data as the basis of the Land revenue capacity measure. If the Commission accepts Western Australia’s concerns about the degree to which land values are policy contaminated, then </w:t>
      </w:r>
      <w:r w:rsidR="00163DD4">
        <w:t xml:space="preserve">it could consider applying </w:t>
      </w:r>
      <w:r>
        <w:t>a discount to the assessment.</w:t>
      </w:r>
    </w:p>
    <w:p w:rsidR="0032262B" w:rsidRDefault="0032262B" w:rsidP="0032262B"/>
    <w:p w:rsidR="00A538F6" w:rsidRDefault="00A538F6" w:rsidP="0032262B"/>
    <w:p w:rsidR="00A538F6" w:rsidRDefault="00A538F6" w:rsidP="0032262B"/>
    <w:tbl>
      <w:tblPr>
        <w:tblW w:w="0" w:type="auto"/>
        <w:tblInd w:w="108" w:type="dxa"/>
        <w:shd w:val="clear" w:color="auto" w:fill="D9F3E6"/>
        <w:tblLook w:val="04A0" w:firstRow="1" w:lastRow="0" w:firstColumn="1" w:lastColumn="0" w:noHBand="0" w:noVBand="1"/>
      </w:tblPr>
      <w:tblGrid>
        <w:gridCol w:w="8931"/>
      </w:tblGrid>
      <w:tr w:rsidR="0032262B" w:rsidRPr="00E674AF" w:rsidTr="0032676A">
        <w:tc>
          <w:tcPr>
            <w:tcW w:w="8931" w:type="dxa"/>
            <w:shd w:val="clear" w:color="auto" w:fill="D9F3E6"/>
          </w:tcPr>
          <w:p w:rsidR="0032262B" w:rsidRPr="00E674AF" w:rsidRDefault="0032262B" w:rsidP="0032676A">
            <w:r w:rsidRPr="00B7517F">
              <w:t>Staff propose to recommend the Commission:</w:t>
            </w:r>
          </w:p>
          <w:p w:rsidR="0032262B" w:rsidRPr="00E674AF" w:rsidRDefault="0032262B" w:rsidP="00E0681C">
            <w:pPr>
              <w:pStyle w:val="CGCBulletlist"/>
              <w:numPr>
                <w:ilvl w:val="0"/>
                <w:numId w:val="1"/>
              </w:numPr>
              <w:tabs>
                <w:tab w:val="clear" w:pos="927"/>
                <w:tab w:val="clear" w:pos="1134"/>
              </w:tabs>
              <w:ind w:left="1134" w:hanging="567"/>
            </w:pPr>
            <w:r>
              <w:t>continue to use land values as the basis of the Land revenue capacity measure.</w:t>
            </w:r>
          </w:p>
        </w:tc>
      </w:tr>
    </w:tbl>
    <w:p w:rsidR="0032262B" w:rsidRDefault="0032262B" w:rsidP="0032262B">
      <w:pPr>
        <w:pStyle w:val="CGCNumberedPara"/>
        <w:numPr>
          <w:ilvl w:val="0"/>
          <w:numId w:val="0"/>
        </w:numPr>
        <w:ind w:left="567" w:hanging="567"/>
      </w:pPr>
    </w:p>
    <w:p w:rsidR="0032262B" w:rsidRDefault="0032262B" w:rsidP="0032262B">
      <w:pPr>
        <w:pStyle w:val="Heading5"/>
      </w:pPr>
      <w:r>
        <w:t>Land tax</w:t>
      </w:r>
    </w:p>
    <w:p w:rsidR="0032262B" w:rsidRPr="00526491" w:rsidRDefault="0032262B" w:rsidP="0032262B">
      <w:pPr>
        <w:pStyle w:val="CGCNumberedPara"/>
        <w:numPr>
          <w:ilvl w:val="1"/>
          <w:numId w:val="3"/>
        </w:numPr>
      </w:pPr>
      <w:r>
        <w:rPr>
          <w:szCs w:val="22"/>
        </w:rPr>
        <w:t xml:space="preserve">Land tax is levied on the owners of land held on a specified date. The specified data in most States is 30 June. It is 31 December in </w:t>
      </w:r>
      <w:r w:rsidRPr="00B73258">
        <w:rPr>
          <w:szCs w:val="22"/>
        </w:rPr>
        <w:t>New South Wales</w:t>
      </w:r>
      <w:r>
        <w:rPr>
          <w:szCs w:val="22"/>
        </w:rPr>
        <w:t xml:space="preserve"> and Victoria. The ACT has a quarterly assessment of land tax.</w:t>
      </w:r>
      <w:r w:rsidRPr="00D16FCD">
        <w:rPr>
          <w:szCs w:val="22"/>
        </w:rPr>
        <w:t xml:space="preserve"> </w:t>
      </w:r>
      <w:r w:rsidRPr="003120A7">
        <w:rPr>
          <w:szCs w:val="22"/>
        </w:rPr>
        <w:t>Most States value land for tax purpos</w:t>
      </w:r>
      <w:r>
        <w:rPr>
          <w:szCs w:val="22"/>
        </w:rPr>
        <w:t>es on the basis of site values.</w:t>
      </w:r>
    </w:p>
    <w:p w:rsidR="0032262B" w:rsidRPr="004D61CE" w:rsidRDefault="0032262B" w:rsidP="0032262B">
      <w:pPr>
        <w:pStyle w:val="CGCNumberedPara"/>
        <w:numPr>
          <w:ilvl w:val="1"/>
          <w:numId w:val="3"/>
        </w:numPr>
      </w:pPr>
      <w:r>
        <w:rPr>
          <w:szCs w:val="22"/>
        </w:rPr>
        <w:t>Most S</w:t>
      </w:r>
      <w:r w:rsidRPr="003120A7">
        <w:rPr>
          <w:szCs w:val="22"/>
        </w:rPr>
        <w:t xml:space="preserve">tates </w:t>
      </w:r>
      <w:r>
        <w:rPr>
          <w:szCs w:val="22"/>
        </w:rPr>
        <w:t>impose</w:t>
      </w:r>
      <w:r w:rsidRPr="003120A7">
        <w:rPr>
          <w:szCs w:val="22"/>
        </w:rPr>
        <w:t xml:space="preserve"> </w:t>
      </w:r>
      <w:r>
        <w:rPr>
          <w:szCs w:val="22"/>
        </w:rPr>
        <w:t>l</w:t>
      </w:r>
      <w:r w:rsidRPr="003120A7">
        <w:rPr>
          <w:szCs w:val="22"/>
        </w:rPr>
        <w:t xml:space="preserve">and tax on </w:t>
      </w:r>
      <w:r>
        <w:rPr>
          <w:szCs w:val="22"/>
        </w:rPr>
        <w:t xml:space="preserve">the value of each land owner’s combined </w:t>
      </w:r>
      <w:r w:rsidRPr="003120A7">
        <w:rPr>
          <w:szCs w:val="22"/>
        </w:rPr>
        <w:t xml:space="preserve">taxable land holdings and </w:t>
      </w:r>
      <w:r>
        <w:rPr>
          <w:szCs w:val="22"/>
        </w:rPr>
        <w:t>they offer</w:t>
      </w:r>
      <w:r w:rsidRPr="003120A7">
        <w:rPr>
          <w:szCs w:val="22"/>
        </w:rPr>
        <w:t xml:space="preserve"> a general deduction threshold</w:t>
      </w:r>
      <w:r>
        <w:rPr>
          <w:szCs w:val="22"/>
        </w:rPr>
        <w:t xml:space="preserve"> (</w:t>
      </w:r>
      <w:r w:rsidRPr="003120A7">
        <w:rPr>
          <w:szCs w:val="22"/>
        </w:rPr>
        <w:t>meaning low value holdings are not taxed</w:t>
      </w:r>
      <w:r>
        <w:rPr>
          <w:szCs w:val="22"/>
        </w:rPr>
        <w:t>)</w:t>
      </w:r>
      <w:r w:rsidRPr="003120A7">
        <w:rPr>
          <w:szCs w:val="22"/>
        </w:rPr>
        <w:t xml:space="preserve">. The ACT </w:t>
      </w:r>
      <w:r>
        <w:rPr>
          <w:szCs w:val="22"/>
        </w:rPr>
        <w:t>imposes land tax</w:t>
      </w:r>
      <w:r w:rsidRPr="003120A7">
        <w:rPr>
          <w:szCs w:val="22"/>
        </w:rPr>
        <w:t xml:space="preserve"> on an individual property basis and </w:t>
      </w:r>
      <w:r>
        <w:rPr>
          <w:szCs w:val="22"/>
        </w:rPr>
        <w:t>offers</w:t>
      </w:r>
      <w:r w:rsidRPr="003120A7">
        <w:rPr>
          <w:szCs w:val="22"/>
        </w:rPr>
        <w:t xml:space="preserve"> no deduction threshold. The Northern Territory does not levy land ta</w:t>
      </w:r>
      <w:r>
        <w:rPr>
          <w:szCs w:val="22"/>
        </w:rPr>
        <w:t>x.</w:t>
      </w:r>
    </w:p>
    <w:p w:rsidR="0032262B" w:rsidRDefault="0032262B" w:rsidP="0032262B">
      <w:pPr>
        <w:pStyle w:val="CGCNumberedPara"/>
        <w:numPr>
          <w:ilvl w:val="1"/>
          <w:numId w:val="3"/>
        </w:numPr>
      </w:pPr>
      <w:r>
        <w:t>This suggests adjusted land values should be used as the capacity measure for Land tax. Adjustments may be required to address State policies that:</w:t>
      </w:r>
    </w:p>
    <w:p w:rsidR="0032262B" w:rsidRDefault="0032262B" w:rsidP="0032262B">
      <w:pPr>
        <w:pStyle w:val="CGCBulletlist"/>
        <w:numPr>
          <w:ilvl w:val="0"/>
          <w:numId w:val="1"/>
        </w:numPr>
        <w:tabs>
          <w:tab w:val="clear" w:pos="927"/>
        </w:tabs>
        <w:ind w:left="1134" w:hanging="567"/>
      </w:pPr>
      <w:r>
        <w:t>exempt a person’s principal place of residence</w:t>
      </w:r>
    </w:p>
    <w:p w:rsidR="0032262B" w:rsidRDefault="0032262B" w:rsidP="0032262B">
      <w:pPr>
        <w:pStyle w:val="CGCBulletlist"/>
        <w:numPr>
          <w:ilvl w:val="0"/>
          <w:numId w:val="1"/>
        </w:numPr>
        <w:tabs>
          <w:tab w:val="clear" w:pos="927"/>
        </w:tabs>
        <w:ind w:left="1134" w:hanging="567"/>
      </w:pPr>
      <w:r>
        <w:t>impose the tax progressively</w:t>
      </w:r>
    </w:p>
    <w:p w:rsidR="0032262B" w:rsidRDefault="0032262B" w:rsidP="0032262B">
      <w:pPr>
        <w:pStyle w:val="CGCBulletlist"/>
        <w:numPr>
          <w:ilvl w:val="0"/>
          <w:numId w:val="1"/>
        </w:numPr>
        <w:tabs>
          <w:tab w:val="clear" w:pos="927"/>
        </w:tabs>
        <w:ind w:left="1134" w:hanging="567"/>
      </w:pPr>
      <w:r>
        <w:t>aggregate a land owner’s taxable land holdings.</w:t>
      </w:r>
    </w:p>
    <w:p w:rsidR="0032262B" w:rsidRDefault="0032262B" w:rsidP="0032262B">
      <w:pPr>
        <w:pStyle w:val="CGCNumberedPara"/>
        <w:numPr>
          <w:ilvl w:val="1"/>
          <w:numId w:val="3"/>
        </w:numPr>
      </w:pPr>
      <w:r>
        <w:fldChar w:fldCharType="begin"/>
      </w:r>
      <w:r>
        <w:instrText xml:space="preserve"> REF _Ref498932288 \h </w:instrText>
      </w:r>
      <w:r>
        <w:fldChar w:fldCharType="separate"/>
      </w:r>
      <w:r w:rsidR="002839F7">
        <w:t>Table </w:t>
      </w:r>
      <w:r w:rsidR="002839F7">
        <w:rPr>
          <w:noProof/>
        </w:rPr>
        <w:t>5</w:t>
      </w:r>
      <w:r>
        <w:fldChar w:fldCharType="end"/>
      </w:r>
      <w:r>
        <w:t xml:space="preserve"> shows the materiality of the first two differences. We do not have data that would allow us to test the materiality of aggregation.</w:t>
      </w:r>
      <w:r w:rsidR="00517BEC">
        <w:t xml:space="preserve"> In its </w:t>
      </w:r>
      <w:r w:rsidR="00E0681C">
        <w:t>review of State taxes</w:t>
      </w:r>
      <w:r w:rsidR="00517BEC">
        <w:t xml:space="preserve">, South Australia stated that aggregation accounted for $130 million </w:t>
      </w:r>
      <w:r w:rsidR="007C54FD">
        <w:t xml:space="preserve">(37.6%) </w:t>
      </w:r>
      <w:r w:rsidR="00517BEC">
        <w:t>of its $346 million Land tax revenue in 2013-14.</w:t>
      </w:r>
      <w:r w:rsidR="00517BEC">
        <w:rPr>
          <w:rStyle w:val="FootnoteReference"/>
        </w:rPr>
        <w:footnoteReference w:id="11"/>
      </w:r>
    </w:p>
    <w:p w:rsidR="0032262B" w:rsidRDefault="0032262B" w:rsidP="0032262B">
      <w:pPr>
        <w:pStyle w:val="CGCTableHeading"/>
      </w:pPr>
      <w:bookmarkStart w:id="21" w:name="_Ref498932288"/>
      <w:r>
        <w:t>Table </w:t>
      </w:r>
      <w:fldSimple w:instr=" SEQ Table \* ARABIC ">
        <w:r w:rsidR="002839F7">
          <w:rPr>
            <w:noProof/>
          </w:rPr>
          <w:t>5</w:t>
        </w:r>
      </w:fldSimple>
      <w:bookmarkEnd w:id="21"/>
      <w:r>
        <w:tab/>
        <w:t>Materiality of different approaches to assessing Land tax, 2018 Update</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32262B" w:rsidRPr="00FE3F73" w:rsidTr="0032676A">
        <w:tc>
          <w:tcPr>
            <w:tcW w:w="1354" w:type="pct"/>
            <w:tcBorders>
              <w:top w:val="single" w:sz="6" w:space="0" w:color="auto"/>
              <w:bottom w:val="single" w:sz="6" w:space="0" w:color="auto"/>
            </w:tcBorders>
            <w:vAlign w:val="bottom"/>
          </w:tcPr>
          <w:p w:rsidR="0032262B" w:rsidRPr="00FE3F73" w:rsidRDefault="0032262B" w:rsidP="0032676A">
            <w:pPr>
              <w:pStyle w:val="CGCTableStub"/>
              <w:spacing w:line="240" w:lineRule="auto"/>
              <w:ind w:left="142" w:hanging="142"/>
              <w:rPr>
                <w:rFonts w:cstheme="minorHAnsi"/>
              </w:rPr>
            </w:pPr>
            <w:r>
              <w:rPr>
                <w:rFonts w:cstheme="minorHAnsi"/>
              </w:rPr>
              <w:t>Effect of:</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Tas</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32262B" w:rsidRPr="00FE3F73" w:rsidRDefault="0032262B" w:rsidP="0032676A">
            <w:pPr>
              <w:pStyle w:val="TableColHeadings"/>
              <w:rPr>
                <w:rFonts w:cstheme="minorHAnsi"/>
              </w:rPr>
            </w:pPr>
            <w:r w:rsidRPr="00FE3F73">
              <w:rPr>
                <w:rFonts w:cstheme="minorHAnsi"/>
              </w:rPr>
              <w:t>A</w:t>
            </w:r>
            <w:r>
              <w:rPr>
                <w:rFonts w:cstheme="minorHAnsi"/>
              </w:rPr>
              <w:t>ve</w:t>
            </w:r>
          </w:p>
        </w:tc>
      </w:tr>
      <w:tr w:rsidR="0032262B" w:rsidRPr="00FE3F73" w:rsidTr="0032676A">
        <w:tc>
          <w:tcPr>
            <w:tcW w:w="1354" w:type="pct"/>
            <w:tcMar>
              <w:top w:w="0" w:type="dxa"/>
              <w:bottom w:w="0" w:type="dxa"/>
            </w:tcMar>
            <w:vAlign w:val="bottom"/>
          </w:tcPr>
          <w:p w:rsidR="0032262B" w:rsidRPr="00FE3F73" w:rsidRDefault="0032262B" w:rsidP="0032676A">
            <w:pPr>
              <w:pStyle w:val="CGCTableStub"/>
              <w:spacing w:before="0" w:after="0" w:line="240" w:lineRule="auto"/>
              <w:jc w:val="right"/>
              <w:rPr>
                <w:rFonts w:cstheme="minorHAnsi"/>
              </w:rPr>
            </w:pP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$pc</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$pc</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$pc</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$pc</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$pc</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$pc</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$pc</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$pc</w:t>
            </w:r>
          </w:p>
        </w:tc>
        <w:tc>
          <w:tcPr>
            <w:tcW w:w="405" w:type="pct"/>
            <w:tcMar>
              <w:top w:w="0" w:type="dxa"/>
              <w:bottom w:w="0" w:type="dxa"/>
            </w:tcMar>
            <w:vAlign w:val="bottom"/>
          </w:tcPr>
          <w:p w:rsidR="0032262B" w:rsidRPr="00FE3F73" w:rsidRDefault="0032262B" w:rsidP="0032676A">
            <w:pPr>
              <w:pStyle w:val="TableRowNormal"/>
              <w:spacing w:before="0" w:after="0" w:line="240" w:lineRule="auto"/>
              <w:ind w:left="0" w:firstLine="0"/>
              <w:rPr>
                <w:rFonts w:cstheme="minorHAnsi"/>
              </w:rPr>
            </w:pPr>
            <w:r>
              <w:rPr>
                <w:rFonts w:cstheme="minorHAnsi"/>
              </w:rPr>
              <w:t>$pc</w:t>
            </w:r>
          </w:p>
        </w:tc>
      </w:tr>
      <w:tr w:rsidR="0032262B" w:rsidRPr="00FE3F73" w:rsidTr="0032676A">
        <w:tc>
          <w:tcPr>
            <w:tcW w:w="1354" w:type="pct"/>
            <w:vAlign w:val="bottom"/>
          </w:tcPr>
          <w:p w:rsidR="0032262B" w:rsidRPr="00FE3F73" w:rsidRDefault="0032262B" w:rsidP="0032676A">
            <w:pPr>
              <w:pStyle w:val="CGCTableStub"/>
              <w:tabs>
                <w:tab w:val="left" w:pos="142"/>
                <w:tab w:val="left" w:pos="425"/>
                <w:tab w:val="left" w:pos="709"/>
                <w:tab w:val="left" w:pos="851"/>
              </w:tabs>
              <w:ind w:left="142" w:hanging="142"/>
              <w:rPr>
                <w:rFonts w:cstheme="minorHAnsi"/>
              </w:rPr>
            </w:pPr>
            <w:r>
              <w:rPr>
                <w:rFonts w:cstheme="minorHAnsi"/>
              </w:rPr>
              <w:t>Exempt principal place of residence (a)</w:t>
            </w:r>
          </w:p>
        </w:tc>
        <w:tc>
          <w:tcPr>
            <w:tcW w:w="405" w:type="pct"/>
            <w:vAlign w:val="bottom"/>
          </w:tcPr>
          <w:p w:rsidR="0032262B" w:rsidRPr="00FE3F73" w:rsidRDefault="0032262B" w:rsidP="0032676A">
            <w:pPr>
              <w:pStyle w:val="TableRowNormal"/>
              <w:ind w:left="0" w:firstLine="0"/>
              <w:rPr>
                <w:rFonts w:cstheme="minorHAnsi"/>
              </w:rPr>
            </w:pPr>
            <w:r>
              <w:rPr>
                <w:rFonts w:cstheme="minorHAnsi"/>
              </w:rPr>
              <w:t>5</w:t>
            </w:r>
          </w:p>
        </w:tc>
        <w:tc>
          <w:tcPr>
            <w:tcW w:w="405" w:type="pct"/>
            <w:vAlign w:val="bottom"/>
          </w:tcPr>
          <w:p w:rsidR="0032262B" w:rsidRPr="00FE3F73" w:rsidRDefault="0032262B" w:rsidP="0032676A">
            <w:pPr>
              <w:pStyle w:val="TableRowNormal"/>
              <w:ind w:left="0" w:firstLine="0"/>
              <w:rPr>
                <w:rFonts w:cstheme="minorHAnsi"/>
              </w:rPr>
            </w:pPr>
            <w:r>
              <w:rPr>
                <w:rFonts w:cstheme="minorHAnsi"/>
              </w:rPr>
              <w:t>0</w:t>
            </w:r>
          </w:p>
        </w:tc>
        <w:tc>
          <w:tcPr>
            <w:tcW w:w="405" w:type="pct"/>
            <w:vAlign w:val="bottom"/>
          </w:tcPr>
          <w:p w:rsidR="0032262B" w:rsidRPr="00FE3F73" w:rsidRDefault="0032262B" w:rsidP="0032676A">
            <w:pPr>
              <w:pStyle w:val="TableRowNormal"/>
              <w:ind w:left="0" w:firstLine="0"/>
              <w:rPr>
                <w:rFonts w:cstheme="minorHAnsi"/>
              </w:rPr>
            </w:pPr>
            <w:r>
              <w:rPr>
                <w:rFonts w:cstheme="minorHAnsi"/>
              </w:rPr>
              <w:t>-13</w:t>
            </w:r>
          </w:p>
        </w:tc>
        <w:tc>
          <w:tcPr>
            <w:tcW w:w="405" w:type="pct"/>
            <w:vAlign w:val="bottom"/>
          </w:tcPr>
          <w:p w:rsidR="0032262B" w:rsidRPr="00FE3F73" w:rsidRDefault="0032262B" w:rsidP="0032676A">
            <w:pPr>
              <w:pStyle w:val="TableRowNormal"/>
              <w:ind w:left="0" w:firstLine="0"/>
              <w:rPr>
                <w:rFonts w:cstheme="minorHAnsi"/>
              </w:rPr>
            </w:pPr>
            <w:r>
              <w:rPr>
                <w:rFonts w:cstheme="minorHAnsi"/>
              </w:rPr>
              <w:t>-4</w:t>
            </w:r>
          </w:p>
        </w:tc>
        <w:tc>
          <w:tcPr>
            <w:tcW w:w="405" w:type="pct"/>
            <w:vAlign w:val="bottom"/>
          </w:tcPr>
          <w:p w:rsidR="0032262B" w:rsidRPr="00FE3F73" w:rsidRDefault="0032262B" w:rsidP="0032676A">
            <w:pPr>
              <w:pStyle w:val="TableRowNormal"/>
              <w:ind w:left="0" w:firstLine="0"/>
              <w:rPr>
                <w:rFonts w:cstheme="minorHAnsi"/>
              </w:rPr>
            </w:pPr>
            <w:r>
              <w:rPr>
                <w:rFonts w:cstheme="minorHAnsi"/>
              </w:rPr>
              <w:t>9</w:t>
            </w:r>
          </w:p>
        </w:tc>
        <w:tc>
          <w:tcPr>
            <w:tcW w:w="405" w:type="pct"/>
            <w:vAlign w:val="bottom"/>
          </w:tcPr>
          <w:p w:rsidR="0032262B" w:rsidRPr="00FE3F73" w:rsidRDefault="0032262B" w:rsidP="0032676A">
            <w:pPr>
              <w:pStyle w:val="TableRowNormal"/>
              <w:ind w:left="0" w:firstLine="0"/>
              <w:rPr>
                <w:rFonts w:cstheme="minorHAnsi"/>
              </w:rPr>
            </w:pPr>
            <w:r>
              <w:rPr>
                <w:rFonts w:cstheme="minorHAnsi"/>
              </w:rPr>
              <w:t>43</w:t>
            </w:r>
          </w:p>
        </w:tc>
        <w:tc>
          <w:tcPr>
            <w:tcW w:w="405" w:type="pct"/>
            <w:vAlign w:val="bottom"/>
          </w:tcPr>
          <w:p w:rsidR="0032262B" w:rsidRPr="00FE3F73" w:rsidRDefault="0032262B" w:rsidP="0032676A">
            <w:pPr>
              <w:pStyle w:val="TableRowNormal"/>
              <w:ind w:left="0" w:firstLine="0"/>
              <w:rPr>
                <w:rFonts w:cstheme="minorHAnsi"/>
              </w:rPr>
            </w:pPr>
            <w:r>
              <w:rPr>
                <w:rFonts w:cstheme="minorHAnsi"/>
              </w:rPr>
              <w:t>41</w:t>
            </w:r>
          </w:p>
        </w:tc>
        <w:tc>
          <w:tcPr>
            <w:tcW w:w="405" w:type="pct"/>
            <w:vAlign w:val="bottom"/>
          </w:tcPr>
          <w:p w:rsidR="0032262B" w:rsidRPr="00FE3F73" w:rsidRDefault="0032262B" w:rsidP="0032676A">
            <w:pPr>
              <w:pStyle w:val="TableRowNormal"/>
              <w:ind w:left="0" w:firstLine="0"/>
              <w:rPr>
                <w:rFonts w:cstheme="minorHAnsi"/>
              </w:rPr>
            </w:pPr>
            <w:r>
              <w:rPr>
                <w:rFonts w:cstheme="minorHAnsi"/>
              </w:rPr>
              <w:t>-67</w:t>
            </w:r>
          </w:p>
        </w:tc>
        <w:tc>
          <w:tcPr>
            <w:tcW w:w="405" w:type="pct"/>
            <w:vAlign w:val="bottom"/>
          </w:tcPr>
          <w:p w:rsidR="0032262B" w:rsidRPr="00FE3F73" w:rsidRDefault="0032262B" w:rsidP="0032676A">
            <w:pPr>
              <w:pStyle w:val="TableRowNormal"/>
              <w:ind w:left="0" w:firstLine="0"/>
              <w:rPr>
                <w:rFonts w:cstheme="minorHAnsi"/>
              </w:rPr>
            </w:pPr>
            <w:r>
              <w:rPr>
                <w:rFonts w:cstheme="minorHAnsi"/>
              </w:rPr>
              <w:t>4</w:t>
            </w:r>
          </w:p>
        </w:tc>
      </w:tr>
      <w:tr w:rsidR="0032262B" w:rsidRPr="00FE3F73" w:rsidTr="0032676A">
        <w:tc>
          <w:tcPr>
            <w:tcW w:w="1354" w:type="pct"/>
            <w:tcBorders>
              <w:bottom w:val="single" w:sz="4" w:space="0" w:color="auto"/>
            </w:tcBorders>
            <w:vAlign w:val="bottom"/>
          </w:tcPr>
          <w:p w:rsidR="0032262B" w:rsidRPr="00FE3F73" w:rsidRDefault="0032262B" w:rsidP="0032676A">
            <w:pPr>
              <w:pStyle w:val="CGCTableStub"/>
              <w:tabs>
                <w:tab w:val="left" w:pos="142"/>
                <w:tab w:val="left" w:pos="425"/>
                <w:tab w:val="left" w:pos="709"/>
                <w:tab w:val="left" w:pos="851"/>
              </w:tabs>
              <w:ind w:left="142" w:hanging="142"/>
              <w:rPr>
                <w:rFonts w:cstheme="minorHAnsi"/>
              </w:rPr>
            </w:pPr>
            <w:r>
              <w:rPr>
                <w:rFonts w:cstheme="minorHAnsi"/>
              </w:rPr>
              <w:t>Progressivity (b)</w:t>
            </w:r>
          </w:p>
        </w:tc>
        <w:tc>
          <w:tcPr>
            <w:tcW w:w="405" w:type="pct"/>
            <w:tcBorders>
              <w:bottom w:val="single" w:sz="4" w:space="0" w:color="auto"/>
            </w:tcBorders>
            <w:vAlign w:val="bottom"/>
          </w:tcPr>
          <w:p w:rsidR="0032262B" w:rsidRPr="001A5649" w:rsidRDefault="0032262B" w:rsidP="0032676A">
            <w:pPr>
              <w:pStyle w:val="TableRowNormal"/>
              <w:ind w:left="0" w:firstLine="0"/>
              <w:rPr>
                <w:rFonts w:cstheme="minorHAnsi"/>
              </w:rPr>
            </w:pPr>
            <w:r w:rsidRPr="001A5649">
              <w:rPr>
                <w:rFonts w:cstheme="minorHAnsi"/>
              </w:rPr>
              <w:t>11</w:t>
            </w:r>
          </w:p>
        </w:tc>
        <w:tc>
          <w:tcPr>
            <w:tcW w:w="405" w:type="pct"/>
            <w:tcBorders>
              <w:bottom w:val="single" w:sz="4" w:space="0" w:color="auto"/>
            </w:tcBorders>
            <w:vAlign w:val="bottom"/>
          </w:tcPr>
          <w:p w:rsidR="0032262B" w:rsidRPr="001A5649" w:rsidRDefault="0032262B" w:rsidP="0032676A">
            <w:pPr>
              <w:pStyle w:val="TableRowNormal"/>
              <w:ind w:left="0" w:firstLine="0"/>
              <w:rPr>
                <w:rFonts w:cstheme="minorHAnsi"/>
              </w:rPr>
            </w:pPr>
            <w:r w:rsidRPr="001A5649">
              <w:rPr>
                <w:rFonts w:cstheme="minorHAnsi"/>
              </w:rPr>
              <w:t>-8</w:t>
            </w:r>
          </w:p>
        </w:tc>
        <w:tc>
          <w:tcPr>
            <w:tcW w:w="405" w:type="pct"/>
            <w:tcBorders>
              <w:bottom w:val="single" w:sz="4" w:space="0" w:color="auto"/>
            </w:tcBorders>
            <w:vAlign w:val="bottom"/>
          </w:tcPr>
          <w:p w:rsidR="0032262B" w:rsidRPr="001A5649" w:rsidRDefault="0032262B" w:rsidP="0032676A">
            <w:pPr>
              <w:pStyle w:val="TableRowNormal"/>
              <w:ind w:left="0" w:firstLine="0"/>
              <w:rPr>
                <w:rFonts w:cstheme="minorHAnsi"/>
              </w:rPr>
            </w:pPr>
            <w:r w:rsidRPr="001A5649">
              <w:rPr>
                <w:rFonts w:cstheme="minorHAnsi"/>
              </w:rPr>
              <w:t>17</w:t>
            </w:r>
          </w:p>
        </w:tc>
        <w:tc>
          <w:tcPr>
            <w:tcW w:w="405" w:type="pct"/>
            <w:tcBorders>
              <w:bottom w:val="single" w:sz="4" w:space="0" w:color="auto"/>
            </w:tcBorders>
            <w:vAlign w:val="bottom"/>
          </w:tcPr>
          <w:p w:rsidR="0032262B" w:rsidRPr="001A5649" w:rsidRDefault="0032262B" w:rsidP="0032676A">
            <w:pPr>
              <w:pStyle w:val="TableRowNormal"/>
              <w:ind w:left="0" w:firstLine="0"/>
              <w:rPr>
                <w:rFonts w:cstheme="minorHAnsi"/>
              </w:rPr>
            </w:pPr>
            <w:r w:rsidRPr="001A5649">
              <w:rPr>
                <w:rFonts w:cstheme="minorHAnsi"/>
              </w:rPr>
              <w:t>2</w:t>
            </w:r>
          </w:p>
        </w:tc>
        <w:tc>
          <w:tcPr>
            <w:tcW w:w="405" w:type="pct"/>
            <w:tcBorders>
              <w:bottom w:val="single" w:sz="4" w:space="0" w:color="auto"/>
            </w:tcBorders>
            <w:vAlign w:val="bottom"/>
          </w:tcPr>
          <w:p w:rsidR="0032262B" w:rsidRPr="001A5649" w:rsidRDefault="0032262B" w:rsidP="0032676A">
            <w:pPr>
              <w:pStyle w:val="TableRowNormal"/>
              <w:ind w:left="0" w:firstLine="0"/>
              <w:rPr>
                <w:rFonts w:cstheme="minorHAnsi"/>
              </w:rPr>
            </w:pPr>
            <w:r w:rsidRPr="001A5649">
              <w:rPr>
                <w:rFonts w:cstheme="minorHAnsi"/>
              </w:rPr>
              <w:t>-57</w:t>
            </w:r>
          </w:p>
        </w:tc>
        <w:tc>
          <w:tcPr>
            <w:tcW w:w="405" w:type="pct"/>
            <w:tcBorders>
              <w:bottom w:val="single" w:sz="4" w:space="0" w:color="auto"/>
            </w:tcBorders>
            <w:vAlign w:val="bottom"/>
          </w:tcPr>
          <w:p w:rsidR="0032262B" w:rsidRPr="001A5649" w:rsidRDefault="0032262B" w:rsidP="0032676A">
            <w:pPr>
              <w:pStyle w:val="TableRowNormal"/>
              <w:ind w:left="0" w:firstLine="0"/>
              <w:rPr>
                <w:rFonts w:cstheme="minorHAnsi"/>
              </w:rPr>
            </w:pPr>
            <w:r w:rsidRPr="001A5649">
              <w:rPr>
                <w:rFonts w:cstheme="minorHAnsi"/>
              </w:rPr>
              <w:t>-17</w:t>
            </w:r>
          </w:p>
        </w:tc>
        <w:tc>
          <w:tcPr>
            <w:tcW w:w="405" w:type="pct"/>
            <w:tcBorders>
              <w:bottom w:val="single" w:sz="4" w:space="0" w:color="auto"/>
            </w:tcBorders>
            <w:vAlign w:val="bottom"/>
          </w:tcPr>
          <w:p w:rsidR="0032262B" w:rsidRPr="001A5649" w:rsidRDefault="0032262B" w:rsidP="0032676A">
            <w:pPr>
              <w:pStyle w:val="TableRowNormal"/>
              <w:ind w:left="0" w:firstLine="0"/>
              <w:rPr>
                <w:rFonts w:cstheme="minorHAnsi"/>
              </w:rPr>
            </w:pPr>
            <w:r w:rsidRPr="001A5649">
              <w:rPr>
                <w:rFonts w:cstheme="minorHAnsi"/>
              </w:rPr>
              <w:t>-45</w:t>
            </w:r>
          </w:p>
        </w:tc>
        <w:tc>
          <w:tcPr>
            <w:tcW w:w="405" w:type="pct"/>
            <w:tcBorders>
              <w:bottom w:val="single" w:sz="4" w:space="0" w:color="auto"/>
            </w:tcBorders>
            <w:vAlign w:val="bottom"/>
          </w:tcPr>
          <w:p w:rsidR="0032262B" w:rsidRPr="001A5649" w:rsidRDefault="0032262B" w:rsidP="0032676A">
            <w:pPr>
              <w:pStyle w:val="TableRowNormal"/>
              <w:ind w:left="0" w:firstLine="0"/>
              <w:rPr>
                <w:rFonts w:cstheme="minorHAnsi"/>
              </w:rPr>
            </w:pPr>
            <w:r w:rsidRPr="001A5649">
              <w:rPr>
                <w:rFonts w:cstheme="minorHAnsi"/>
              </w:rPr>
              <w:t>0</w:t>
            </w:r>
          </w:p>
        </w:tc>
        <w:tc>
          <w:tcPr>
            <w:tcW w:w="405" w:type="pct"/>
            <w:tcBorders>
              <w:bottom w:val="single" w:sz="4" w:space="0" w:color="auto"/>
            </w:tcBorders>
            <w:vAlign w:val="bottom"/>
          </w:tcPr>
          <w:p w:rsidR="0032262B" w:rsidRPr="001A5649" w:rsidRDefault="0032262B" w:rsidP="0032676A">
            <w:pPr>
              <w:pStyle w:val="TableRowNormal"/>
              <w:ind w:left="0" w:firstLine="0"/>
              <w:rPr>
                <w:rFonts w:cstheme="minorHAnsi"/>
              </w:rPr>
            </w:pPr>
            <w:r w:rsidRPr="001A5649">
              <w:rPr>
                <w:rFonts w:cstheme="minorHAnsi"/>
              </w:rPr>
              <w:t>7</w:t>
            </w:r>
          </w:p>
        </w:tc>
      </w:tr>
    </w:tbl>
    <w:p w:rsidR="0032262B" w:rsidRDefault="0032262B" w:rsidP="0032262B">
      <w:pPr>
        <w:pStyle w:val="CGCTableFootnote"/>
      </w:pPr>
      <w:r>
        <w:t>(a)</w:t>
      </w:r>
      <w:r>
        <w:tab/>
        <w:t>This was calculated as the difference between an assessment based on ABS residential, commercial and industrial land value data and an assessment that included a proportion of residential land values. The proportion included was the proportion of households renting from private landlords.</w:t>
      </w:r>
    </w:p>
    <w:p w:rsidR="0032262B" w:rsidRDefault="0032262B" w:rsidP="0032262B">
      <w:pPr>
        <w:pStyle w:val="CGCTableFootnote"/>
      </w:pPr>
      <w:r>
        <w:t>(b)</w:t>
      </w:r>
      <w:r>
        <w:tab/>
        <w:t xml:space="preserve">This was calculated as the difference between an assessment of taxable land holdings using the effective rate of tax for each value range and </w:t>
      </w:r>
      <w:r w:rsidR="00E0681C">
        <w:t xml:space="preserve">an </w:t>
      </w:r>
      <w:r>
        <w:t>assessment using the overall effective rate of tax. Taxable land values in value ranges up to $0.3 million were assessed EPC, which is how they are currently assessed.</w:t>
      </w:r>
    </w:p>
    <w:p w:rsidR="0032262B" w:rsidRPr="00EF0D34" w:rsidRDefault="0032262B" w:rsidP="0032262B">
      <w:pPr>
        <w:pStyle w:val="CGCTableFootnote"/>
      </w:pPr>
      <w:r>
        <w:t>Source:</w:t>
      </w:r>
      <w:r>
        <w:tab/>
        <w:t>State data returns. ABS land value data.</w:t>
      </w:r>
    </w:p>
    <w:p w:rsidR="0032262B" w:rsidRPr="00DB1AD5" w:rsidRDefault="0032262B" w:rsidP="0032262B">
      <w:pPr>
        <w:pStyle w:val="CGCNumberedPara"/>
        <w:numPr>
          <w:ilvl w:val="1"/>
          <w:numId w:val="3"/>
        </w:numPr>
      </w:pPr>
      <w:r w:rsidRPr="007A3749">
        <w:rPr>
          <w:rStyle w:val="Heading6Char"/>
        </w:rPr>
        <w:t>Progressive rates of tax.</w:t>
      </w:r>
      <w:r>
        <w:rPr>
          <w:szCs w:val="22"/>
        </w:rPr>
        <w:t xml:space="preserve"> Most States impose </w:t>
      </w:r>
      <w:r w:rsidR="00E0681C">
        <w:rPr>
          <w:szCs w:val="22"/>
        </w:rPr>
        <w:t>l</w:t>
      </w:r>
      <w:r w:rsidRPr="003120A7">
        <w:rPr>
          <w:szCs w:val="22"/>
        </w:rPr>
        <w:t xml:space="preserve">and tax </w:t>
      </w:r>
      <w:r>
        <w:rPr>
          <w:szCs w:val="22"/>
        </w:rPr>
        <w:t xml:space="preserve">progressively (see </w:t>
      </w:r>
      <w:r>
        <w:rPr>
          <w:szCs w:val="22"/>
        </w:rPr>
        <w:fldChar w:fldCharType="begin"/>
      </w:r>
      <w:r>
        <w:rPr>
          <w:szCs w:val="22"/>
        </w:rPr>
        <w:instrText xml:space="preserve"> REF _Ref498933885 \h </w:instrText>
      </w:r>
      <w:r>
        <w:rPr>
          <w:szCs w:val="22"/>
        </w:rPr>
      </w:r>
      <w:r>
        <w:rPr>
          <w:szCs w:val="22"/>
        </w:rPr>
        <w:fldChar w:fldCharType="separate"/>
      </w:r>
      <w:r w:rsidR="002839F7">
        <w:t>Table </w:t>
      </w:r>
      <w:r w:rsidR="002839F7">
        <w:rPr>
          <w:noProof/>
        </w:rPr>
        <w:t>6</w:t>
      </w:r>
      <w:r>
        <w:rPr>
          <w:szCs w:val="22"/>
        </w:rPr>
        <w:fldChar w:fldCharType="end"/>
      </w:r>
      <w:r>
        <w:rPr>
          <w:szCs w:val="22"/>
        </w:rPr>
        <w:t xml:space="preserve"> and </w:t>
      </w:r>
      <w:r>
        <w:rPr>
          <w:szCs w:val="22"/>
        </w:rPr>
        <w:fldChar w:fldCharType="begin"/>
      </w:r>
      <w:r>
        <w:rPr>
          <w:szCs w:val="22"/>
        </w:rPr>
        <w:instrText xml:space="preserve"> REF _Ref498933900 \h </w:instrText>
      </w:r>
      <w:r>
        <w:rPr>
          <w:szCs w:val="22"/>
        </w:rPr>
      </w:r>
      <w:r>
        <w:rPr>
          <w:szCs w:val="22"/>
        </w:rPr>
        <w:fldChar w:fldCharType="separate"/>
      </w:r>
      <w:r w:rsidR="002839F7">
        <w:t xml:space="preserve">Figure </w:t>
      </w:r>
      <w:r w:rsidR="002839F7">
        <w:rPr>
          <w:noProof/>
        </w:rPr>
        <w:t>1</w:t>
      </w:r>
      <w:r>
        <w:rPr>
          <w:szCs w:val="22"/>
        </w:rPr>
        <w:fldChar w:fldCharType="end"/>
      </w:r>
      <w:r>
        <w:rPr>
          <w:szCs w:val="22"/>
        </w:rPr>
        <w:t>), with the tax rate increasing as the value of taxable land holdings increases.</w:t>
      </w:r>
      <w:r w:rsidRPr="00B948BA">
        <w:t xml:space="preserve"> </w:t>
      </w:r>
      <w:r>
        <w:t xml:space="preserve">Provided the data allow, Commission staff propose to include an adjustment for the progressivity of </w:t>
      </w:r>
      <w:r w:rsidR="00E0681C">
        <w:t>l</w:t>
      </w:r>
      <w:r>
        <w:t>and tax.</w:t>
      </w:r>
    </w:p>
    <w:p w:rsidR="0032262B" w:rsidRDefault="0032262B" w:rsidP="0032262B">
      <w:pPr>
        <w:pStyle w:val="CGCTableHeading"/>
      </w:pPr>
      <w:bookmarkStart w:id="22" w:name="_Ref498933885"/>
      <w:r>
        <w:t>Table </w:t>
      </w:r>
      <w:fldSimple w:instr=" SEQ Table \* ARABIC ">
        <w:r w:rsidR="002839F7">
          <w:rPr>
            <w:noProof/>
          </w:rPr>
          <w:t>6</w:t>
        </w:r>
      </w:fldSimple>
      <w:bookmarkEnd w:id="22"/>
      <w:r>
        <w:tab/>
        <w:t>General land tax scales, 2016-17</w:t>
      </w:r>
    </w:p>
    <w:tbl>
      <w:tblPr>
        <w:tblW w:w="5000" w:type="pct"/>
        <w:tblCellMar>
          <w:left w:w="85" w:type="dxa"/>
          <w:right w:w="85" w:type="dxa"/>
        </w:tblCellMar>
        <w:tblLook w:val="0000" w:firstRow="0" w:lastRow="0" w:firstColumn="0" w:lastColumn="0" w:noHBand="0" w:noVBand="0"/>
      </w:tblPr>
      <w:tblGrid>
        <w:gridCol w:w="3209"/>
        <w:gridCol w:w="739"/>
        <w:gridCol w:w="739"/>
        <w:gridCol w:w="739"/>
        <w:gridCol w:w="739"/>
        <w:gridCol w:w="739"/>
        <w:gridCol w:w="739"/>
        <w:gridCol w:w="739"/>
        <w:gridCol w:w="739"/>
      </w:tblGrid>
      <w:tr w:rsidR="0032262B" w:rsidRPr="00802AC1" w:rsidTr="0032676A">
        <w:tc>
          <w:tcPr>
            <w:tcW w:w="1759" w:type="pct"/>
            <w:tcBorders>
              <w:top w:val="single" w:sz="6" w:space="0" w:color="auto"/>
              <w:bottom w:val="single" w:sz="6" w:space="0" w:color="auto"/>
            </w:tcBorders>
            <w:vAlign w:val="bottom"/>
          </w:tcPr>
          <w:p w:rsidR="0032262B" w:rsidRPr="00802AC1" w:rsidRDefault="0032262B" w:rsidP="0032676A">
            <w:pPr>
              <w:pStyle w:val="CGCTableStub"/>
              <w:rPr>
                <w:rFonts w:cstheme="minorHAnsi"/>
              </w:rPr>
            </w:pPr>
          </w:p>
        </w:tc>
        <w:tc>
          <w:tcPr>
            <w:tcW w:w="405" w:type="pct"/>
            <w:tcBorders>
              <w:top w:val="single" w:sz="6" w:space="0" w:color="auto"/>
              <w:bottom w:val="single" w:sz="6" w:space="0" w:color="auto"/>
            </w:tcBorders>
            <w:vAlign w:val="bottom"/>
          </w:tcPr>
          <w:p w:rsidR="0032262B" w:rsidRPr="00802AC1" w:rsidRDefault="0032262B" w:rsidP="0032676A">
            <w:pPr>
              <w:pStyle w:val="TableColHeadings"/>
              <w:rPr>
                <w:rFonts w:cstheme="minorHAnsi"/>
              </w:rPr>
            </w:pPr>
            <w:r w:rsidRPr="00802AC1">
              <w:rPr>
                <w:rFonts w:cstheme="minorHAnsi"/>
              </w:rPr>
              <w:t>NSW</w:t>
            </w:r>
          </w:p>
        </w:tc>
        <w:tc>
          <w:tcPr>
            <w:tcW w:w="405" w:type="pct"/>
            <w:tcBorders>
              <w:top w:val="single" w:sz="6" w:space="0" w:color="auto"/>
              <w:bottom w:val="single" w:sz="6" w:space="0" w:color="auto"/>
            </w:tcBorders>
            <w:vAlign w:val="bottom"/>
          </w:tcPr>
          <w:p w:rsidR="0032262B" w:rsidRPr="00802AC1" w:rsidRDefault="0032262B" w:rsidP="0032676A">
            <w:pPr>
              <w:pStyle w:val="TableColHeadings"/>
              <w:rPr>
                <w:rFonts w:cstheme="minorHAnsi"/>
              </w:rPr>
            </w:pPr>
            <w:r w:rsidRPr="00802AC1">
              <w:rPr>
                <w:rFonts w:cstheme="minorHAnsi"/>
              </w:rPr>
              <w:t>Vic</w:t>
            </w:r>
          </w:p>
        </w:tc>
        <w:tc>
          <w:tcPr>
            <w:tcW w:w="405" w:type="pct"/>
            <w:tcBorders>
              <w:top w:val="single" w:sz="6" w:space="0" w:color="auto"/>
              <w:bottom w:val="single" w:sz="6" w:space="0" w:color="auto"/>
            </w:tcBorders>
            <w:vAlign w:val="bottom"/>
          </w:tcPr>
          <w:p w:rsidR="0032262B" w:rsidRPr="00802AC1" w:rsidRDefault="0032262B" w:rsidP="0032676A">
            <w:pPr>
              <w:pStyle w:val="TableColHeadings"/>
              <w:rPr>
                <w:rFonts w:cstheme="minorHAnsi"/>
              </w:rPr>
            </w:pPr>
            <w:r w:rsidRPr="00802AC1">
              <w:rPr>
                <w:rFonts w:cstheme="minorHAnsi"/>
              </w:rPr>
              <w:t>Qld</w:t>
            </w:r>
          </w:p>
        </w:tc>
        <w:tc>
          <w:tcPr>
            <w:tcW w:w="405" w:type="pct"/>
            <w:tcBorders>
              <w:top w:val="single" w:sz="6" w:space="0" w:color="auto"/>
              <w:bottom w:val="single" w:sz="6" w:space="0" w:color="auto"/>
            </w:tcBorders>
            <w:vAlign w:val="bottom"/>
          </w:tcPr>
          <w:p w:rsidR="0032262B" w:rsidRPr="00802AC1" w:rsidRDefault="0032262B" w:rsidP="0032676A">
            <w:pPr>
              <w:pStyle w:val="TableColHeadings"/>
              <w:rPr>
                <w:rFonts w:cstheme="minorHAnsi"/>
              </w:rPr>
            </w:pPr>
            <w:r w:rsidRPr="00802AC1">
              <w:rPr>
                <w:rFonts w:cstheme="minorHAnsi"/>
              </w:rPr>
              <w:t>WA</w:t>
            </w:r>
          </w:p>
        </w:tc>
        <w:tc>
          <w:tcPr>
            <w:tcW w:w="405" w:type="pct"/>
            <w:tcBorders>
              <w:top w:val="single" w:sz="6" w:space="0" w:color="auto"/>
              <w:bottom w:val="single" w:sz="6" w:space="0" w:color="auto"/>
            </w:tcBorders>
            <w:vAlign w:val="bottom"/>
          </w:tcPr>
          <w:p w:rsidR="0032262B" w:rsidRPr="00802AC1" w:rsidRDefault="0032262B" w:rsidP="0032676A">
            <w:pPr>
              <w:pStyle w:val="TableColHeadings"/>
              <w:rPr>
                <w:rFonts w:cstheme="minorHAnsi"/>
              </w:rPr>
            </w:pPr>
            <w:r w:rsidRPr="00802AC1">
              <w:rPr>
                <w:rFonts w:cstheme="minorHAnsi"/>
              </w:rPr>
              <w:t>SA</w:t>
            </w:r>
          </w:p>
        </w:tc>
        <w:tc>
          <w:tcPr>
            <w:tcW w:w="405" w:type="pct"/>
            <w:tcBorders>
              <w:top w:val="single" w:sz="6" w:space="0" w:color="auto"/>
              <w:bottom w:val="single" w:sz="6" w:space="0" w:color="auto"/>
            </w:tcBorders>
            <w:vAlign w:val="bottom"/>
          </w:tcPr>
          <w:p w:rsidR="0032262B" w:rsidRPr="00802AC1" w:rsidRDefault="0032262B" w:rsidP="0032676A">
            <w:pPr>
              <w:pStyle w:val="TableColHeadings"/>
              <w:rPr>
                <w:rFonts w:cstheme="minorHAnsi"/>
              </w:rPr>
            </w:pPr>
            <w:r w:rsidRPr="00802AC1">
              <w:rPr>
                <w:rFonts w:cstheme="minorHAnsi"/>
              </w:rPr>
              <w:t>Tas</w:t>
            </w:r>
          </w:p>
        </w:tc>
        <w:tc>
          <w:tcPr>
            <w:tcW w:w="405" w:type="pct"/>
            <w:tcBorders>
              <w:top w:val="single" w:sz="6" w:space="0" w:color="auto"/>
              <w:bottom w:val="single" w:sz="6" w:space="0" w:color="auto"/>
            </w:tcBorders>
            <w:vAlign w:val="bottom"/>
          </w:tcPr>
          <w:p w:rsidR="0032262B" w:rsidRPr="00802AC1" w:rsidRDefault="0032262B" w:rsidP="0032676A">
            <w:pPr>
              <w:pStyle w:val="TableColHeadings"/>
              <w:rPr>
                <w:rFonts w:cstheme="minorHAnsi"/>
              </w:rPr>
            </w:pPr>
            <w:r w:rsidRPr="00802AC1">
              <w:rPr>
                <w:rFonts w:cstheme="minorHAnsi"/>
              </w:rPr>
              <w:t>ACT</w:t>
            </w:r>
          </w:p>
        </w:tc>
        <w:tc>
          <w:tcPr>
            <w:tcW w:w="405" w:type="pct"/>
            <w:tcBorders>
              <w:top w:val="single" w:sz="6" w:space="0" w:color="auto"/>
              <w:bottom w:val="single" w:sz="6" w:space="0" w:color="auto"/>
            </w:tcBorders>
            <w:vAlign w:val="bottom"/>
          </w:tcPr>
          <w:p w:rsidR="0032262B" w:rsidRPr="00802AC1" w:rsidRDefault="0032262B" w:rsidP="0032676A">
            <w:pPr>
              <w:pStyle w:val="TableColHeadings"/>
              <w:rPr>
                <w:rFonts w:cstheme="minorHAnsi"/>
              </w:rPr>
            </w:pPr>
            <w:r w:rsidRPr="00802AC1">
              <w:rPr>
                <w:rFonts w:cstheme="minorHAnsi"/>
              </w:rPr>
              <w:t>NT</w:t>
            </w:r>
          </w:p>
        </w:tc>
      </w:tr>
      <w:tr w:rsidR="0032262B" w:rsidRPr="00802AC1" w:rsidTr="0032676A">
        <w:tc>
          <w:tcPr>
            <w:tcW w:w="1759" w:type="pct"/>
            <w:tcMar>
              <w:top w:w="0" w:type="dxa"/>
              <w:bottom w:w="0" w:type="dxa"/>
            </w:tcMar>
            <w:vAlign w:val="bottom"/>
          </w:tcPr>
          <w:p w:rsidR="0032262B" w:rsidRPr="00802AC1" w:rsidRDefault="0032262B" w:rsidP="0032676A">
            <w:pPr>
              <w:pStyle w:val="TableRowUnits"/>
              <w:rPr>
                <w:rFonts w:cstheme="minorHAnsi"/>
              </w:rPr>
            </w:pPr>
          </w:p>
        </w:tc>
        <w:tc>
          <w:tcPr>
            <w:tcW w:w="405" w:type="pct"/>
            <w:tcMar>
              <w:top w:w="0" w:type="dxa"/>
              <w:bottom w:w="0" w:type="dxa"/>
            </w:tcMar>
            <w:vAlign w:val="bottom"/>
          </w:tcPr>
          <w:p w:rsidR="0032262B" w:rsidRPr="00802AC1" w:rsidRDefault="0032262B" w:rsidP="0032676A">
            <w:pPr>
              <w:pStyle w:val="TableRowUnits"/>
              <w:rPr>
                <w:rFonts w:cstheme="minorHAnsi"/>
              </w:rPr>
            </w:pPr>
            <w:r>
              <w:rPr>
                <w:rFonts w:cstheme="minorHAnsi"/>
              </w:rPr>
              <w:t>%</w:t>
            </w:r>
          </w:p>
        </w:tc>
        <w:tc>
          <w:tcPr>
            <w:tcW w:w="405" w:type="pct"/>
            <w:tcMar>
              <w:top w:w="0" w:type="dxa"/>
              <w:bottom w:w="0" w:type="dxa"/>
            </w:tcMar>
            <w:vAlign w:val="bottom"/>
          </w:tcPr>
          <w:p w:rsidR="0032262B" w:rsidRPr="00802AC1" w:rsidRDefault="0032262B" w:rsidP="0032676A">
            <w:pPr>
              <w:pStyle w:val="TableRowUnits"/>
              <w:rPr>
                <w:rFonts w:cstheme="minorHAnsi"/>
              </w:rPr>
            </w:pPr>
            <w:r>
              <w:rPr>
                <w:rFonts w:cstheme="minorHAnsi"/>
              </w:rPr>
              <w:t>%</w:t>
            </w:r>
          </w:p>
        </w:tc>
        <w:tc>
          <w:tcPr>
            <w:tcW w:w="405" w:type="pct"/>
            <w:tcMar>
              <w:top w:w="0" w:type="dxa"/>
              <w:bottom w:w="0" w:type="dxa"/>
            </w:tcMar>
            <w:vAlign w:val="bottom"/>
          </w:tcPr>
          <w:p w:rsidR="0032262B" w:rsidRPr="00802AC1" w:rsidRDefault="0032262B" w:rsidP="0032676A">
            <w:pPr>
              <w:pStyle w:val="TableRowUnits"/>
              <w:rPr>
                <w:rFonts w:cstheme="minorHAnsi"/>
              </w:rPr>
            </w:pPr>
            <w:r>
              <w:rPr>
                <w:rFonts w:cstheme="minorHAnsi"/>
              </w:rPr>
              <w:t>%</w:t>
            </w:r>
          </w:p>
        </w:tc>
        <w:tc>
          <w:tcPr>
            <w:tcW w:w="405" w:type="pct"/>
            <w:tcMar>
              <w:top w:w="0" w:type="dxa"/>
              <w:bottom w:w="0" w:type="dxa"/>
            </w:tcMar>
            <w:vAlign w:val="bottom"/>
          </w:tcPr>
          <w:p w:rsidR="0032262B" w:rsidRPr="00802AC1" w:rsidRDefault="0032262B" w:rsidP="0032676A">
            <w:pPr>
              <w:pStyle w:val="TableRowUnits"/>
              <w:rPr>
                <w:rFonts w:cstheme="minorHAnsi"/>
              </w:rPr>
            </w:pPr>
            <w:r>
              <w:rPr>
                <w:rFonts w:cstheme="minorHAnsi"/>
              </w:rPr>
              <w:t>%</w:t>
            </w:r>
          </w:p>
        </w:tc>
        <w:tc>
          <w:tcPr>
            <w:tcW w:w="405" w:type="pct"/>
            <w:tcMar>
              <w:top w:w="0" w:type="dxa"/>
              <w:bottom w:w="0" w:type="dxa"/>
            </w:tcMar>
            <w:vAlign w:val="bottom"/>
          </w:tcPr>
          <w:p w:rsidR="0032262B" w:rsidRPr="00802AC1" w:rsidRDefault="0032262B" w:rsidP="0032676A">
            <w:pPr>
              <w:pStyle w:val="TableRowUnits"/>
              <w:rPr>
                <w:rFonts w:cstheme="minorHAnsi"/>
              </w:rPr>
            </w:pPr>
            <w:r>
              <w:rPr>
                <w:rFonts w:cstheme="minorHAnsi"/>
              </w:rPr>
              <w:t>%</w:t>
            </w:r>
          </w:p>
        </w:tc>
        <w:tc>
          <w:tcPr>
            <w:tcW w:w="405" w:type="pct"/>
            <w:tcMar>
              <w:top w:w="0" w:type="dxa"/>
              <w:bottom w:w="0" w:type="dxa"/>
            </w:tcMar>
            <w:vAlign w:val="bottom"/>
          </w:tcPr>
          <w:p w:rsidR="0032262B" w:rsidRPr="00802AC1" w:rsidRDefault="0032262B" w:rsidP="0032676A">
            <w:pPr>
              <w:pStyle w:val="TableRowUnits"/>
              <w:rPr>
                <w:rFonts w:cstheme="minorHAnsi"/>
              </w:rPr>
            </w:pPr>
            <w:r>
              <w:rPr>
                <w:rFonts w:cstheme="minorHAnsi"/>
              </w:rPr>
              <w:t>%</w:t>
            </w:r>
          </w:p>
        </w:tc>
        <w:tc>
          <w:tcPr>
            <w:tcW w:w="405" w:type="pct"/>
            <w:tcMar>
              <w:top w:w="0" w:type="dxa"/>
              <w:bottom w:w="0" w:type="dxa"/>
            </w:tcMar>
            <w:vAlign w:val="bottom"/>
          </w:tcPr>
          <w:p w:rsidR="0032262B" w:rsidRPr="00802AC1" w:rsidRDefault="0032262B" w:rsidP="0032676A">
            <w:pPr>
              <w:pStyle w:val="TableRowUnits"/>
              <w:rPr>
                <w:rFonts w:cstheme="minorHAnsi"/>
              </w:rPr>
            </w:pPr>
            <w:r>
              <w:rPr>
                <w:rFonts w:cstheme="minorHAnsi"/>
              </w:rPr>
              <w:t>%</w:t>
            </w:r>
          </w:p>
        </w:tc>
        <w:tc>
          <w:tcPr>
            <w:tcW w:w="405" w:type="pct"/>
            <w:tcMar>
              <w:top w:w="0" w:type="dxa"/>
              <w:bottom w:w="0" w:type="dxa"/>
            </w:tcMar>
            <w:vAlign w:val="bottom"/>
          </w:tcPr>
          <w:p w:rsidR="0032262B" w:rsidRPr="00802AC1" w:rsidRDefault="0032262B" w:rsidP="0032676A">
            <w:pPr>
              <w:pStyle w:val="TableRowUnits"/>
              <w:rPr>
                <w:rFonts w:cstheme="minorHAnsi"/>
              </w:rPr>
            </w:pPr>
            <w:r>
              <w:rPr>
                <w:rFonts w:cstheme="minorHAnsi"/>
              </w:rPr>
              <w:t>%</w:t>
            </w:r>
          </w:p>
        </w:tc>
      </w:tr>
      <w:tr w:rsidR="0032262B" w:rsidRPr="00802AC1" w:rsidTr="0032676A">
        <w:tc>
          <w:tcPr>
            <w:tcW w:w="1759" w:type="pct"/>
            <w:vAlign w:val="bottom"/>
          </w:tcPr>
          <w:p w:rsidR="0032262B" w:rsidRPr="00802AC1" w:rsidRDefault="0032262B" w:rsidP="0032676A">
            <w:pPr>
              <w:pStyle w:val="CGCTableStub"/>
              <w:tabs>
                <w:tab w:val="left" w:pos="142"/>
                <w:tab w:val="left" w:pos="425"/>
                <w:tab w:val="left" w:pos="709"/>
                <w:tab w:val="left" w:pos="851"/>
              </w:tabs>
              <w:ind w:left="142" w:hanging="142"/>
              <w:rPr>
                <w:rFonts w:cstheme="minorHAnsi"/>
              </w:rPr>
            </w:pPr>
            <w:r>
              <w:rPr>
                <w:rFonts w:cstheme="minorHAnsi"/>
              </w:rPr>
              <w:t>Minimum rate (a)</w:t>
            </w:r>
          </w:p>
        </w:tc>
        <w:tc>
          <w:tcPr>
            <w:tcW w:w="405" w:type="pct"/>
            <w:vAlign w:val="bottom"/>
          </w:tcPr>
          <w:p w:rsidR="0032262B" w:rsidRPr="00802AC1" w:rsidRDefault="0032262B" w:rsidP="0032676A">
            <w:pPr>
              <w:pStyle w:val="TableRowNormal"/>
              <w:ind w:left="0" w:firstLine="0"/>
              <w:rPr>
                <w:rFonts w:cstheme="minorHAnsi"/>
              </w:rPr>
            </w:pPr>
            <w:r>
              <w:rPr>
                <w:rFonts w:cstheme="minorHAnsi"/>
              </w:rPr>
              <w:t>1.60</w:t>
            </w:r>
          </w:p>
        </w:tc>
        <w:tc>
          <w:tcPr>
            <w:tcW w:w="405" w:type="pct"/>
            <w:vAlign w:val="bottom"/>
          </w:tcPr>
          <w:p w:rsidR="0032262B" w:rsidRPr="00802AC1" w:rsidRDefault="0032262B" w:rsidP="0032676A">
            <w:pPr>
              <w:pStyle w:val="TableRowNormal"/>
              <w:ind w:left="0" w:firstLine="0"/>
              <w:rPr>
                <w:rFonts w:cstheme="minorHAnsi"/>
              </w:rPr>
            </w:pPr>
            <w:r>
              <w:rPr>
                <w:rFonts w:cstheme="minorHAnsi"/>
              </w:rPr>
              <w:t>0.20</w:t>
            </w:r>
          </w:p>
        </w:tc>
        <w:tc>
          <w:tcPr>
            <w:tcW w:w="405" w:type="pct"/>
            <w:vAlign w:val="bottom"/>
          </w:tcPr>
          <w:p w:rsidR="0032262B" w:rsidRPr="00802AC1" w:rsidRDefault="0032262B" w:rsidP="0032676A">
            <w:pPr>
              <w:pStyle w:val="TableRowNormal"/>
              <w:ind w:left="0" w:firstLine="0"/>
              <w:rPr>
                <w:rFonts w:cstheme="minorHAnsi"/>
              </w:rPr>
            </w:pPr>
            <w:r>
              <w:rPr>
                <w:rFonts w:cstheme="minorHAnsi"/>
              </w:rPr>
              <w:t>1.00</w:t>
            </w:r>
          </w:p>
        </w:tc>
        <w:tc>
          <w:tcPr>
            <w:tcW w:w="405" w:type="pct"/>
            <w:vAlign w:val="bottom"/>
          </w:tcPr>
          <w:p w:rsidR="0032262B" w:rsidRPr="00802AC1" w:rsidRDefault="0032262B" w:rsidP="0032676A">
            <w:pPr>
              <w:pStyle w:val="TableRowNormal"/>
              <w:ind w:left="0" w:firstLine="0"/>
              <w:rPr>
                <w:rFonts w:cstheme="minorHAnsi"/>
              </w:rPr>
            </w:pPr>
            <w:r>
              <w:rPr>
                <w:rFonts w:cstheme="minorHAnsi"/>
              </w:rPr>
              <w:t>0.25</w:t>
            </w:r>
          </w:p>
        </w:tc>
        <w:tc>
          <w:tcPr>
            <w:tcW w:w="405" w:type="pct"/>
            <w:vAlign w:val="bottom"/>
          </w:tcPr>
          <w:p w:rsidR="0032262B" w:rsidRPr="00802AC1" w:rsidRDefault="0032262B" w:rsidP="0032676A">
            <w:pPr>
              <w:pStyle w:val="TableRowNormal"/>
              <w:ind w:left="0" w:firstLine="0"/>
              <w:rPr>
                <w:rFonts w:cstheme="minorHAnsi"/>
              </w:rPr>
            </w:pPr>
            <w:r>
              <w:rPr>
                <w:rFonts w:cstheme="minorHAnsi"/>
              </w:rPr>
              <w:t>0.50</w:t>
            </w:r>
          </w:p>
        </w:tc>
        <w:tc>
          <w:tcPr>
            <w:tcW w:w="405" w:type="pct"/>
            <w:vAlign w:val="bottom"/>
          </w:tcPr>
          <w:p w:rsidR="0032262B" w:rsidRPr="00802AC1" w:rsidRDefault="0032262B" w:rsidP="0032676A">
            <w:pPr>
              <w:pStyle w:val="TableRowNormal"/>
              <w:ind w:left="0" w:firstLine="0"/>
              <w:rPr>
                <w:rFonts w:cstheme="minorHAnsi"/>
              </w:rPr>
            </w:pPr>
            <w:r>
              <w:rPr>
                <w:rFonts w:cstheme="minorHAnsi"/>
              </w:rPr>
              <w:t>0.55</w:t>
            </w:r>
          </w:p>
        </w:tc>
        <w:tc>
          <w:tcPr>
            <w:tcW w:w="405" w:type="pct"/>
            <w:vAlign w:val="bottom"/>
          </w:tcPr>
          <w:p w:rsidR="0032262B" w:rsidRPr="00802AC1" w:rsidRDefault="0032262B" w:rsidP="0032676A">
            <w:pPr>
              <w:pStyle w:val="TableRowNormal"/>
              <w:ind w:left="0" w:firstLine="0"/>
              <w:rPr>
                <w:rFonts w:cstheme="minorHAnsi"/>
              </w:rPr>
            </w:pPr>
            <w:r>
              <w:rPr>
                <w:rFonts w:cstheme="minorHAnsi"/>
              </w:rPr>
              <w:t>0.41</w:t>
            </w:r>
          </w:p>
        </w:tc>
        <w:tc>
          <w:tcPr>
            <w:tcW w:w="405" w:type="pct"/>
            <w:vAlign w:val="bottom"/>
          </w:tcPr>
          <w:p w:rsidR="0032262B" w:rsidRPr="00802AC1" w:rsidRDefault="0032262B" w:rsidP="0032676A">
            <w:pPr>
              <w:pStyle w:val="TableRowNormal"/>
              <w:ind w:left="0" w:firstLine="0"/>
              <w:rPr>
                <w:rFonts w:cstheme="minorHAnsi"/>
              </w:rPr>
            </w:pPr>
            <w:r>
              <w:rPr>
                <w:rFonts w:cstheme="minorHAnsi"/>
              </w:rPr>
              <w:t xml:space="preserve">  na</w:t>
            </w:r>
          </w:p>
        </w:tc>
      </w:tr>
      <w:tr w:rsidR="0032262B" w:rsidRPr="00802AC1" w:rsidTr="0032676A">
        <w:tc>
          <w:tcPr>
            <w:tcW w:w="1759" w:type="pct"/>
            <w:tcBorders>
              <w:bottom w:val="single" w:sz="6" w:space="0" w:color="auto"/>
            </w:tcBorders>
            <w:vAlign w:val="bottom"/>
          </w:tcPr>
          <w:p w:rsidR="0032262B" w:rsidRPr="00802AC1" w:rsidRDefault="0032262B" w:rsidP="0032676A">
            <w:pPr>
              <w:pStyle w:val="CGCTableStub"/>
              <w:tabs>
                <w:tab w:val="left" w:pos="142"/>
                <w:tab w:val="left" w:pos="425"/>
                <w:tab w:val="left" w:pos="709"/>
                <w:tab w:val="left" w:pos="851"/>
              </w:tabs>
              <w:ind w:left="142" w:hanging="142"/>
              <w:rPr>
                <w:rFonts w:cstheme="minorHAnsi"/>
              </w:rPr>
            </w:pPr>
            <w:r>
              <w:rPr>
                <w:rFonts w:cstheme="minorHAnsi"/>
              </w:rPr>
              <w:t>Maximum rate</w:t>
            </w:r>
          </w:p>
        </w:tc>
        <w:tc>
          <w:tcPr>
            <w:tcW w:w="405" w:type="pct"/>
            <w:tcBorders>
              <w:bottom w:val="single" w:sz="6" w:space="0" w:color="auto"/>
            </w:tcBorders>
            <w:vAlign w:val="bottom"/>
          </w:tcPr>
          <w:p w:rsidR="0032262B" w:rsidRPr="00802AC1" w:rsidRDefault="0032262B" w:rsidP="0032676A">
            <w:pPr>
              <w:pStyle w:val="TableRowNormal"/>
              <w:ind w:left="0" w:firstLine="0"/>
              <w:rPr>
                <w:rFonts w:cstheme="minorHAnsi"/>
              </w:rPr>
            </w:pPr>
            <w:r>
              <w:rPr>
                <w:rFonts w:cstheme="minorHAnsi"/>
              </w:rPr>
              <w:t>2.00</w:t>
            </w:r>
          </w:p>
        </w:tc>
        <w:tc>
          <w:tcPr>
            <w:tcW w:w="405" w:type="pct"/>
            <w:tcBorders>
              <w:bottom w:val="single" w:sz="6" w:space="0" w:color="auto"/>
            </w:tcBorders>
            <w:vAlign w:val="bottom"/>
          </w:tcPr>
          <w:p w:rsidR="0032262B" w:rsidRPr="00802AC1" w:rsidRDefault="0032262B" w:rsidP="0032676A">
            <w:pPr>
              <w:pStyle w:val="TableRowNormal"/>
              <w:ind w:left="0" w:firstLine="0"/>
              <w:rPr>
                <w:rFonts w:cstheme="minorHAnsi"/>
              </w:rPr>
            </w:pPr>
            <w:r>
              <w:rPr>
                <w:rFonts w:cstheme="minorHAnsi"/>
              </w:rPr>
              <w:t>2.25</w:t>
            </w:r>
          </w:p>
        </w:tc>
        <w:tc>
          <w:tcPr>
            <w:tcW w:w="405" w:type="pct"/>
            <w:tcBorders>
              <w:bottom w:val="single" w:sz="6" w:space="0" w:color="auto"/>
            </w:tcBorders>
            <w:vAlign w:val="bottom"/>
          </w:tcPr>
          <w:p w:rsidR="0032262B" w:rsidRPr="00802AC1" w:rsidRDefault="0032262B" w:rsidP="0032676A">
            <w:pPr>
              <w:pStyle w:val="TableRowNormal"/>
              <w:ind w:left="0" w:firstLine="0"/>
              <w:rPr>
                <w:rFonts w:cstheme="minorHAnsi"/>
              </w:rPr>
            </w:pPr>
            <w:r>
              <w:rPr>
                <w:rFonts w:cstheme="minorHAnsi"/>
              </w:rPr>
              <w:t>1.75</w:t>
            </w:r>
          </w:p>
        </w:tc>
        <w:tc>
          <w:tcPr>
            <w:tcW w:w="405" w:type="pct"/>
            <w:tcBorders>
              <w:bottom w:val="single" w:sz="6" w:space="0" w:color="auto"/>
            </w:tcBorders>
            <w:vAlign w:val="bottom"/>
          </w:tcPr>
          <w:p w:rsidR="0032262B" w:rsidRPr="00802AC1" w:rsidRDefault="0032262B" w:rsidP="0032676A">
            <w:pPr>
              <w:pStyle w:val="TableRowNormal"/>
              <w:ind w:left="0" w:firstLine="0"/>
              <w:rPr>
                <w:rFonts w:cstheme="minorHAnsi"/>
              </w:rPr>
            </w:pPr>
            <w:r>
              <w:rPr>
                <w:rFonts w:cstheme="minorHAnsi"/>
              </w:rPr>
              <w:t>2.67</w:t>
            </w:r>
          </w:p>
        </w:tc>
        <w:tc>
          <w:tcPr>
            <w:tcW w:w="405" w:type="pct"/>
            <w:tcBorders>
              <w:bottom w:val="single" w:sz="6" w:space="0" w:color="auto"/>
            </w:tcBorders>
            <w:vAlign w:val="bottom"/>
          </w:tcPr>
          <w:p w:rsidR="0032262B" w:rsidRPr="00802AC1" w:rsidRDefault="0032262B" w:rsidP="0032676A">
            <w:pPr>
              <w:pStyle w:val="TableRowNormal"/>
              <w:ind w:left="0" w:firstLine="0"/>
              <w:rPr>
                <w:rFonts w:cstheme="minorHAnsi"/>
              </w:rPr>
            </w:pPr>
            <w:r>
              <w:rPr>
                <w:rFonts w:cstheme="minorHAnsi"/>
              </w:rPr>
              <w:t>3.70</w:t>
            </w:r>
          </w:p>
        </w:tc>
        <w:tc>
          <w:tcPr>
            <w:tcW w:w="405" w:type="pct"/>
            <w:tcBorders>
              <w:bottom w:val="single" w:sz="6" w:space="0" w:color="auto"/>
            </w:tcBorders>
            <w:vAlign w:val="bottom"/>
          </w:tcPr>
          <w:p w:rsidR="0032262B" w:rsidRPr="00802AC1" w:rsidRDefault="0032262B" w:rsidP="0032676A">
            <w:pPr>
              <w:pStyle w:val="TableRowNormal"/>
              <w:ind w:left="0" w:firstLine="0"/>
              <w:rPr>
                <w:rFonts w:cstheme="minorHAnsi"/>
              </w:rPr>
            </w:pPr>
            <w:r>
              <w:rPr>
                <w:rFonts w:cstheme="minorHAnsi"/>
              </w:rPr>
              <w:t>1.50</w:t>
            </w:r>
          </w:p>
        </w:tc>
        <w:tc>
          <w:tcPr>
            <w:tcW w:w="405" w:type="pct"/>
            <w:tcBorders>
              <w:bottom w:val="single" w:sz="6" w:space="0" w:color="auto"/>
            </w:tcBorders>
            <w:vAlign w:val="bottom"/>
          </w:tcPr>
          <w:p w:rsidR="0032262B" w:rsidRPr="00802AC1" w:rsidRDefault="0032262B" w:rsidP="0032676A">
            <w:pPr>
              <w:pStyle w:val="TableRowNormal"/>
              <w:ind w:left="0" w:firstLine="0"/>
              <w:rPr>
                <w:rFonts w:cstheme="minorHAnsi"/>
              </w:rPr>
            </w:pPr>
            <w:r>
              <w:rPr>
                <w:rFonts w:cstheme="minorHAnsi"/>
              </w:rPr>
              <w:t>1.23</w:t>
            </w:r>
          </w:p>
        </w:tc>
        <w:tc>
          <w:tcPr>
            <w:tcW w:w="405" w:type="pct"/>
            <w:tcBorders>
              <w:bottom w:val="single" w:sz="6" w:space="0" w:color="auto"/>
            </w:tcBorders>
            <w:vAlign w:val="bottom"/>
          </w:tcPr>
          <w:p w:rsidR="0032262B" w:rsidRPr="00802AC1" w:rsidRDefault="0032262B" w:rsidP="0032676A">
            <w:pPr>
              <w:pStyle w:val="TableRowNormal"/>
              <w:ind w:left="0" w:firstLine="0"/>
              <w:rPr>
                <w:rFonts w:cstheme="minorHAnsi"/>
              </w:rPr>
            </w:pPr>
            <w:r>
              <w:rPr>
                <w:rFonts w:cstheme="minorHAnsi"/>
              </w:rPr>
              <w:t xml:space="preserve">  na</w:t>
            </w:r>
          </w:p>
        </w:tc>
      </w:tr>
    </w:tbl>
    <w:p w:rsidR="0032262B" w:rsidRDefault="0032262B" w:rsidP="0032262B">
      <w:pPr>
        <w:pStyle w:val="CGCTableFootnote"/>
      </w:pPr>
      <w:r>
        <w:t>(a)</w:t>
      </w:r>
      <w:r>
        <w:tab/>
        <w:t>States, other than the ACT and the Northern Territory, offer a general deduction threshold.</w:t>
      </w:r>
    </w:p>
    <w:p w:rsidR="0032262B" w:rsidRDefault="0032262B" w:rsidP="0032262B">
      <w:pPr>
        <w:pStyle w:val="CGCTableFootnote"/>
      </w:pPr>
      <w:r>
        <w:t>Source:</w:t>
      </w:r>
      <w:r>
        <w:tab/>
        <w:t>New South Wales Treasury, Interstate comparison of taxes, 2016-17, page 30.</w:t>
      </w:r>
    </w:p>
    <w:p w:rsidR="0032262B" w:rsidRPr="000F6176" w:rsidRDefault="0032262B" w:rsidP="0032262B">
      <w:pPr>
        <w:pStyle w:val="Caption"/>
      </w:pPr>
      <w:bookmarkStart w:id="23" w:name="_Ref498933900"/>
      <w:r>
        <w:t xml:space="preserve">Figure </w:t>
      </w:r>
      <w:fldSimple w:instr=" SEQ Figure \* ARABIC ">
        <w:r w:rsidR="002839F7">
          <w:rPr>
            <w:noProof/>
          </w:rPr>
          <w:t>1</w:t>
        </w:r>
      </w:fldSimple>
      <w:bookmarkEnd w:id="23"/>
      <w:r>
        <w:tab/>
        <w:t>Progressive rate of Land tax, 2016-17</w:t>
      </w:r>
    </w:p>
    <w:p w:rsidR="0032262B" w:rsidRDefault="00A51113" w:rsidP="0032262B">
      <w:pPr>
        <w:pStyle w:val="CGCTableFootnote"/>
      </w:pPr>
      <w:r>
        <w:rPr>
          <w:noProof/>
          <w:lang w:eastAsia="en-AU"/>
        </w:rPr>
        <w:drawing>
          <wp:inline distT="0" distB="0" distL="0" distR="0">
            <wp:extent cx="5657850" cy="3562350"/>
            <wp:effectExtent l="0" t="0" r="0" b="0"/>
            <wp:docPr id="2" name="Picture 2" descr="This picture shows that higher rates of land tax are applied to higher value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0" cy="3562350"/>
                    </a:xfrm>
                    <a:prstGeom prst="rect">
                      <a:avLst/>
                    </a:prstGeom>
                    <a:noFill/>
                    <a:ln>
                      <a:noFill/>
                    </a:ln>
                  </pic:spPr>
                </pic:pic>
              </a:graphicData>
            </a:graphic>
          </wp:inline>
        </w:drawing>
      </w:r>
    </w:p>
    <w:p w:rsidR="0032262B" w:rsidRDefault="0032262B" w:rsidP="0032262B">
      <w:pPr>
        <w:pStyle w:val="CGCTableFootnote"/>
      </w:pPr>
      <w:r>
        <w:t>Source:</w:t>
      </w:r>
      <w:r>
        <w:tab/>
        <w:t>State Revenue Office data, 2016-17.</w:t>
      </w:r>
    </w:p>
    <w:p w:rsidR="0032262B" w:rsidRDefault="0032262B" w:rsidP="0032262B"/>
    <w:p w:rsidR="0032262B" w:rsidRPr="00526491" w:rsidRDefault="0032262B" w:rsidP="0032262B">
      <w:pPr>
        <w:pStyle w:val="CGCNumberedPara"/>
        <w:numPr>
          <w:ilvl w:val="1"/>
          <w:numId w:val="3"/>
        </w:numPr>
      </w:pPr>
      <w:r w:rsidRPr="007A3749">
        <w:rPr>
          <w:rStyle w:val="Heading6Char"/>
        </w:rPr>
        <w:t>Jointly owned land.</w:t>
      </w:r>
      <w:r>
        <w:rPr>
          <w:szCs w:val="22"/>
        </w:rPr>
        <w:t xml:space="preserve"> States</w:t>
      </w:r>
      <w:r w:rsidRPr="003120A7">
        <w:rPr>
          <w:szCs w:val="22"/>
        </w:rPr>
        <w:t xml:space="preserve"> differ in their treatment of </w:t>
      </w:r>
      <w:r>
        <w:rPr>
          <w:szCs w:val="22"/>
        </w:rPr>
        <w:t>jointly</w:t>
      </w:r>
      <w:r w:rsidRPr="003120A7">
        <w:rPr>
          <w:szCs w:val="22"/>
        </w:rPr>
        <w:t xml:space="preserve"> </w:t>
      </w:r>
      <w:r>
        <w:rPr>
          <w:szCs w:val="22"/>
        </w:rPr>
        <w:t>owned</w:t>
      </w:r>
      <w:r w:rsidRPr="003120A7">
        <w:rPr>
          <w:szCs w:val="22"/>
        </w:rPr>
        <w:t xml:space="preserve"> land</w:t>
      </w:r>
      <w:r>
        <w:rPr>
          <w:szCs w:val="22"/>
        </w:rPr>
        <w:t>.</w:t>
      </w:r>
    </w:p>
    <w:p w:rsidR="0032262B" w:rsidRPr="00526491" w:rsidRDefault="0032262B" w:rsidP="0032262B">
      <w:pPr>
        <w:pStyle w:val="CGCBulletlist"/>
        <w:numPr>
          <w:ilvl w:val="0"/>
          <w:numId w:val="1"/>
        </w:numPr>
        <w:tabs>
          <w:tab w:val="clear" w:pos="927"/>
        </w:tabs>
        <w:ind w:left="1134" w:hanging="567"/>
      </w:pPr>
      <w:r w:rsidRPr="003120A7">
        <w:rPr>
          <w:szCs w:val="22"/>
        </w:rPr>
        <w:t>In New South Wales and Victoria</w:t>
      </w:r>
      <w:r>
        <w:rPr>
          <w:szCs w:val="22"/>
        </w:rPr>
        <w:t>,</w:t>
      </w:r>
      <w:r w:rsidRPr="003120A7">
        <w:rPr>
          <w:szCs w:val="22"/>
        </w:rPr>
        <w:t xml:space="preserve"> land</w:t>
      </w:r>
      <w:r>
        <w:rPr>
          <w:szCs w:val="22"/>
        </w:rPr>
        <w:t xml:space="preserve"> held jointly</w:t>
      </w:r>
      <w:r w:rsidRPr="003120A7">
        <w:rPr>
          <w:szCs w:val="22"/>
        </w:rPr>
        <w:t xml:space="preserve"> is assessed </w:t>
      </w:r>
      <w:r>
        <w:rPr>
          <w:szCs w:val="22"/>
        </w:rPr>
        <w:t xml:space="preserve">and taxed </w:t>
      </w:r>
      <w:r w:rsidRPr="003120A7">
        <w:rPr>
          <w:szCs w:val="22"/>
        </w:rPr>
        <w:t>as if it was owned by a single owner. The land value is allocated between the joint owners according to their interest in the land. Each person’s interest in the joint land is aggregated with their other land holdings and they are taxed on the basis of the</w:t>
      </w:r>
      <w:r>
        <w:rPr>
          <w:szCs w:val="22"/>
        </w:rPr>
        <w:t>ir</w:t>
      </w:r>
      <w:r w:rsidRPr="003120A7">
        <w:rPr>
          <w:szCs w:val="22"/>
        </w:rPr>
        <w:t xml:space="preserve"> total</w:t>
      </w:r>
      <w:r>
        <w:rPr>
          <w:szCs w:val="22"/>
        </w:rPr>
        <w:t xml:space="preserve"> </w:t>
      </w:r>
      <w:r w:rsidRPr="003120A7">
        <w:rPr>
          <w:szCs w:val="22"/>
        </w:rPr>
        <w:t xml:space="preserve">taxable land </w:t>
      </w:r>
      <w:r>
        <w:rPr>
          <w:szCs w:val="22"/>
        </w:rPr>
        <w:t>value.</w:t>
      </w:r>
      <w:r>
        <w:rPr>
          <w:rStyle w:val="FootnoteReference"/>
          <w:szCs w:val="22"/>
        </w:rPr>
        <w:footnoteReference w:id="12"/>
      </w:r>
    </w:p>
    <w:p w:rsidR="0032262B" w:rsidRPr="00526491" w:rsidRDefault="0032262B" w:rsidP="0032262B">
      <w:pPr>
        <w:pStyle w:val="CGCBulletlist"/>
        <w:numPr>
          <w:ilvl w:val="0"/>
          <w:numId w:val="1"/>
        </w:numPr>
        <w:tabs>
          <w:tab w:val="clear" w:pos="927"/>
        </w:tabs>
        <w:ind w:left="1134" w:hanging="567"/>
      </w:pPr>
      <w:r w:rsidRPr="003120A7">
        <w:rPr>
          <w:szCs w:val="22"/>
        </w:rPr>
        <w:t xml:space="preserve">In Queensland, the value of </w:t>
      </w:r>
      <w:r>
        <w:rPr>
          <w:szCs w:val="22"/>
        </w:rPr>
        <w:t xml:space="preserve">land held </w:t>
      </w:r>
      <w:r w:rsidRPr="003120A7">
        <w:rPr>
          <w:szCs w:val="22"/>
        </w:rPr>
        <w:t>jointly is allocated between each owner and aggregated with any other holdings. Each owner is taxed on the basis of the</w:t>
      </w:r>
      <w:r>
        <w:rPr>
          <w:szCs w:val="22"/>
        </w:rPr>
        <w:t>ir</w:t>
      </w:r>
      <w:r w:rsidRPr="003120A7">
        <w:rPr>
          <w:szCs w:val="22"/>
        </w:rPr>
        <w:t xml:space="preserve"> total</w:t>
      </w:r>
      <w:r>
        <w:rPr>
          <w:szCs w:val="22"/>
        </w:rPr>
        <w:t xml:space="preserve"> </w:t>
      </w:r>
      <w:r w:rsidRPr="003120A7">
        <w:rPr>
          <w:szCs w:val="22"/>
        </w:rPr>
        <w:t xml:space="preserve">taxable land </w:t>
      </w:r>
      <w:r>
        <w:rPr>
          <w:szCs w:val="22"/>
        </w:rPr>
        <w:t>value.</w:t>
      </w:r>
    </w:p>
    <w:p w:rsidR="0032262B" w:rsidRPr="00526491" w:rsidRDefault="0032262B" w:rsidP="0032262B">
      <w:pPr>
        <w:pStyle w:val="CGCBulletlist"/>
        <w:numPr>
          <w:ilvl w:val="0"/>
          <w:numId w:val="1"/>
        </w:numPr>
        <w:tabs>
          <w:tab w:val="clear" w:pos="927"/>
        </w:tabs>
        <w:ind w:left="1134" w:hanging="567"/>
      </w:pPr>
      <w:r w:rsidRPr="003120A7">
        <w:rPr>
          <w:szCs w:val="22"/>
        </w:rPr>
        <w:t>In Western Australia, South Australia and Tasmania</w:t>
      </w:r>
      <w:r w:rsidR="00163DD4">
        <w:rPr>
          <w:szCs w:val="22"/>
        </w:rPr>
        <w:t>,</w:t>
      </w:r>
      <w:r w:rsidRPr="003120A7">
        <w:rPr>
          <w:szCs w:val="22"/>
        </w:rPr>
        <w:t xml:space="preserve"> </w:t>
      </w:r>
      <w:r>
        <w:rPr>
          <w:szCs w:val="22"/>
        </w:rPr>
        <w:t xml:space="preserve">land held </w:t>
      </w:r>
      <w:r w:rsidRPr="003120A7">
        <w:rPr>
          <w:szCs w:val="22"/>
        </w:rPr>
        <w:t>jointly is assessed and taxed as if it was owned by a single owner. The assessment is kept separate from any other land owned individually or jointly by the joint owners. These States only aggregate the value of property when it is held by the same owner(s)</w:t>
      </w:r>
      <w:r>
        <w:rPr>
          <w:szCs w:val="22"/>
        </w:rPr>
        <w:t>.</w:t>
      </w:r>
    </w:p>
    <w:p w:rsidR="0032262B" w:rsidRPr="00526491" w:rsidRDefault="0032262B" w:rsidP="0032262B">
      <w:pPr>
        <w:pStyle w:val="CGCBulletlist"/>
        <w:numPr>
          <w:ilvl w:val="0"/>
          <w:numId w:val="1"/>
        </w:numPr>
        <w:tabs>
          <w:tab w:val="clear" w:pos="927"/>
        </w:tabs>
        <w:ind w:left="1134" w:hanging="567"/>
      </w:pPr>
      <w:r w:rsidRPr="003120A7">
        <w:rPr>
          <w:szCs w:val="22"/>
        </w:rPr>
        <w:t>The ACT taxes land owned jointly as if it was owned by one person. The ACT does not have a land tax-free threshold and does not aggregate the value of land held by an owner</w:t>
      </w:r>
      <w:r w:rsidR="00163DD4">
        <w:rPr>
          <w:szCs w:val="22"/>
        </w:rPr>
        <w:t>. E</w:t>
      </w:r>
      <w:r w:rsidRPr="003120A7">
        <w:rPr>
          <w:szCs w:val="22"/>
        </w:rPr>
        <w:t>ach property is taxed individually</w:t>
      </w:r>
      <w:r>
        <w:rPr>
          <w:szCs w:val="22"/>
        </w:rPr>
        <w:t>.</w:t>
      </w:r>
    </w:p>
    <w:p w:rsidR="0032262B" w:rsidRPr="007A3749" w:rsidRDefault="0032262B" w:rsidP="0032262B">
      <w:pPr>
        <w:pStyle w:val="CGCNumberedPara"/>
        <w:numPr>
          <w:ilvl w:val="1"/>
          <w:numId w:val="3"/>
        </w:numPr>
      </w:pPr>
      <w:r>
        <w:rPr>
          <w:szCs w:val="22"/>
        </w:rPr>
        <w:t>Most States also have different grouping provisions for corporations. If corporations are grouped</w:t>
      </w:r>
      <w:r w:rsidRPr="003120A7">
        <w:rPr>
          <w:szCs w:val="22"/>
        </w:rPr>
        <w:t xml:space="preserve">, </w:t>
      </w:r>
      <w:r>
        <w:rPr>
          <w:szCs w:val="22"/>
        </w:rPr>
        <w:t xml:space="preserve">the land holdings of each corporation in the group are combined and the combined land holding is assessed as if </w:t>
      </w:r>
      <w:r w:rsidR="00E0681C">
        <w:rPr>
          <w:szCs w:val="22"/>
        </w:rPr>
        <w:t>it was</w:t>
      </w:r>
      <w:r>
        <w:rPr>
          <w:szCs w:val="22"/>
        </w:rPr>
        <w:t xml:space="preserve"> a single land holding owned by a single corporation. That is, land tax is calculated on the total taxable value of all land owned by members of a group. This is the tax that would be payable if a single company owned all the land.</w:t>
      </w:r>
    </w:p>
    <w:p w:rsidR="0032262B" w:rsidRDefault="0032262B" w:rsidP="0032262B">
      <w:pPr>
        <w:pStyle w:val="CGCNumberedPara"/>
        <w:numPr>
          <w:ilvl w:val="1"/>
          <w:numId w:val="3"/>
        </w:numPr>
      </w:pPr>
      <w:r>
        <w:t>The only data capable of capturing State policies in relation to aggregation, joint ownership and grouping provisions are the taxable land value data provided by SROs.</w:t>
      </w:r>
    </w:p>
    <w:p w:rsidR="00163DD4" w:rsidRDefault="00163DD4" w:rsidP="0032262B">
      <w:pPr>
        <w:pStyle w:val="CGCNumberedPara"/>
        <w:numPr>
          <w:ilvl w:val="1"/>
          <w:numId w:val="3"/>
        </w:numPr>
      </w:pPr>
      <w:r w:rsidRPr="007A3749">
        <w:rPr>
          <w:rStyle w:val="Heading6Char"/>
        </w:rPr>
        <w:t>Foreign owner surcharge.</w:t>
      </w:r>
      <w:r>
        <w:rPr>
          <w:szCs w:val="22"/>
        </w:rPr>
        <w:t xml:space="preserve"> </w:t>
      </w:r>
      <w:r>
        <w:t>Three States (New South Wales, Victoria and Queensland) have surcharges on their land tax for owners who do not usually live in Australia. The ACT will introduce a surcharge from 1 July 2018. A foreign owner can be an individual, a corporation or a trust.</w:t>
      </w:r>
      <w:r>
        <w:rPr>
          <w:rStyle w:val="FootnoteReference"/>
        </w:rPr>
        <w:footnoteReference w:id="13"/>
      </w:r>
    </w:p>
    <w:p w:rsidR="0032262B" w:rsidRDefault="0032262B" w:rsidP="0032262B">
      <w:pPr>
        <w:pStyle w:val="CGCNumberedPara"/>
        <w:numPr>
          <w:ilvl w:val="1"/>
          <w:numId w:val="3"/>
        </w:numPr>
      </w:pPr>
      <w:r>
        <w:t>A separate assessment of this revenue stream would require the Commission to collect information on the properties held by foreign owners. Alternatively, the Commission could treat the surcharges like a progressive rate of tax. For the 2020 Review, Commission staff propose to recommend the Commission not undertake a separate foreign owner surcharge assessment. Thus, the surcharges will affect the Land revenue assessment through higher effective rates of tax.</w:t>
      </w:r>
    </w:p>
    <w:p w:rsidR="0032262B" w:rsidRDefault="0032262B" w:rsidP="0032262B"/>
    <w:tbl>
      <w:tblPr>
        <w:tblW w:w="0" w:type="auto"/>
        <w:tblInd w:w="108" w:type="dxa"/>
        <w:shd w:val="clear" w:color="auto" w:fill="D9F3E6"/>
        <w:tblLook w:val="04A0" w:firstRow="1" w:lastRow="0" w:firstColumn="1" w:lastColumn="0" w:noHBand="0" w:noVBand="1"/>
      </w:tblPr>
      <w:tblGrid>
        <w:gridCol w:w="8931"/>
      </w:tblGrid>
      <w:tr w:rsidR="0032262B" w:rsidRPr="00E674AF" w:rsidTr="0032676A">
        <w:tc>
          <w:tcPr>
            <w:tcW w:w="8931" w:type="dxa"/>
            <w:shd w:val="clear" w:color="auto" w:fill="D9F3E6"/>
          </w:tcPr>
          <w:p w:rsidR="0032262B" w:rsidRPr="00E674AF" w:rsidRDefault="0032262B" w:rsidP="0032676A">
            <w:r w:rsidRPr="00B7517F">
              <w:t>Staff propose to recommend the Commission:</w:t>
            </w:r>
          </w:p>
          <w:p w:rsidR="0032262B" w:rsidRDefault="0032262B" w:rsidP="0032676A">
            <w:pPr>
              <w:pStyle w:val="CGCBulletlist"/>
              <w:numPr>
                <w:ilvl w:val="0"/>
                <w:numId w:val="1"/>
              </w:numPr>
              <w:tabs>
                <w:tab w:val="clear" w:pos="927"/>
                <w:tab w:val="clear" w:pos="1134"/>
              </w:tabs>
              <w:ind w:left="1134" w:hanging="567"/>
            </w:pPr>
            <w:r>
              <w:t>assess the Land tax component using adjusted land values</w:t>
            </w:r>
          </w:p>
          <w:p w:rsidR="0032262B" w:rsidRDefault="0032262B" w:rsidP="0032676A">
            <w:pPr>
              <w:pStyle w:val="CGCBulletlist"/>
              <w:numPr>
                <w:ilvl w:val="0"/>
                <w:numId w:val="1"/>
              </w:numPr>
              <w:tabs>
                <w:tab w:val="clear" w:pos="927"/>
                <w:tab w:val="clear" w:pos="1134"/>
              </w:tabs>
              <w:ind w:left="1134" w:hanging="567"/>
            </w:pPr>
            <w:r>
              <w:t>adjust land values for</w:t>
            </w:r>
          </w:p>
          <w:p w:rsidR="0032262B" w:rsidRDefault="0032262B" w:rsidP="0032262B">
            <w:pPr>
              <w:pStyle w:val="CGCSubbulletlist"/>
              <w:numPr>
                <w:ilvl w:val="0"/>
                <w:numId w:val="4"/>
              </w:numPr>
              <w:tabs>
                <w:tab w:val="clear" w:pos="927"/>
              </w:tabs>
              <w:ind w:left="1701" w:hanging="567"/>
            </w:pPr>
            <w:r>
              <w:t>the scope of taxation, excluding land values relating to principal places of residence and land used for primary production, general government and charitable purposes</w:t>
            </w:r>
          </w:p>
          <w:p w:rsidR="0032262B" w:rsidRDefault="0032262B" w:rsidP="0032262B">
            <w:pPr>
              <w:pStyle w:val="CGCSubbulletlist"/>
              <w:numPr>
                <w:ilvl w:val="0"/>
                <w:numId w:val="4"/>
              </w:numPr>
              <w:tabs>
                <w:tab w:val="clear" w:pos="927"/>
              </w:tabs>
              <w:ind w:left="1701" w:hanging="567"/>
            </w:pPr>
            <w:r>
              <w:t>State policies on aggregation, including the treatment of jointly owned land, if it can be done reliably</w:t>
            </w:r>
          </w:p>
          <w:p w:rsidR="0032262B" w:rsidRDefault="0032262B" w:rsidP="0032262B">
            <w:pPr>
              <w:pStyle w:val="CGCSubbulletlist"/>
              <w:numPr>
                <w:ilvl w:val="0"/>
                <w:numId w:val="4"/>
              </w:numPr>
              <w:tabs>
                <w:tab w:val="clear" w:pos="927"/>
              </w:tabs>
              <w:ind w:left="1701" w:hanging="567"/>
            </w:pPr>
            <w:r>
              <w:t>the progressivity of Land tax</w:t>
            </w:r>
          </w:p>
          <w:p w:rsidR="0032262B" w:rsidRPr="00E674AF" w:rsidRDefault="0032262B" w:rsidP="0032676A">
            <w:pPr>
              <w:pStyle w:val="CGCBulletlist"/>
              <w:numPr>
                <w:ilvl w:val="0"/>
                <w:numId w:val="1"/>
              </w:numPr>
              <w:tabs>
                <w:tab w:val="clear" w:pos="927"/>
                <w:tab w:val="clear" w:pos="1134"/>
              </w:tabs>
              <w:ind w:left="1134" w:hanging="567"/>
            </w:pPr>
            <w:r>
              <w:t>not make a separate assessment of foreign owner surcharges, but allow the surcharges to affect the assessment through increased effective rates of tax.</w:t>
            </w:r>
          </w:p>
        </w:tc>
      </w:tr>
    </w:tbl>
    <w:p w:rsidR="0032262B" w:rsidRPr="00E674AF" w:rsidRDefault="0032262B" w:rsidP="0032262B">
      <w:pPr>
        <w:tabs>
          <w:tab w:val="clear" w:pos="567"/>
        </w:tabs>
      </w:pPr>
    </w:p>
    <w:p w:rsidR="0032262B" w:rsidRDefault="0032262B" w:rsidP="0032262B">
      <w:pPr>
        <w:pStyle w:val="Heading5"/>
      </w:pPr>
      <w:r>
        <w:t>Other land based taxes</w:t>
      </w:r>
    </w:p>
    <w:p w:rsidR="0032262B" w:rsidRDefault="0032262B" w:rsidP="0032262B">
      <w:pPr>
        <w:pStyle w:val="CGCNumberedPara"/>
        <w:numPr>
          <w:ilvl w:val="1"/>
          <w:numId w:val="3"/>
        </w:numPr>
      </w:pPr>
      <w:r>
        <w:t>Generally, States levy other land based taxes on a per property basis (that is, there is no aggregation of land holdings) and they apply these taxes to all residential, commercial and industrial properties.</w:t>
      </w:r>
    </w:p>
    <w:p w:rsidR="0032262B" w:rsidRDefault="0032262B" w:rsidP="0032262B">
      <w:pPr>
        <w:pStyle w:val="CGCNumberedPara"/>
        <w:numPr>
          <w:ilvl w:val="1"/>
          <w:numId w:val="3"/>
        </w:numPr>
      </w:pPr>
      <w:r>
        <w:t xml:space="preserve">Attachment A lists the land based taxes imposed by States and how they </w:t>
      </w:r>
      <w:r w:rsidR="00E0681C">
        <w:t xml:space="preserve">are </w:t>
      </w:r>
      <w:r>
        <w:t>imposed</w:t>
      </w:r>
      <w:r w:rsidR="00E0681C">
        <w:t>.</w:t>
      </w:r>
      <w:r>
        <w:t xml:space="preserve"> It shows that most States impose a property based FESL and three States have improvement levies for their metropolitan areas. </w:t>
      </w:r>
    </w:p>
    <w:p w:rsidR="0032262B" w:rsidRDefault="0032262B" w:rsidP="0032262B">
      <w:pPr>
        <w:pStyle w:val="CGCNumberedPara"/>
        <w:numPr>
          <w:ilvl w:val="1"/>
          <w:numId w:val="3"/>
        </w:numPr>
      </w:pPr>
      <w:r>
        <w:t>Commission staff propose to recommend the Commission assess these taxes using the value of land for residential, commercial and industrial properties.</w:t>
      </w:r>
    </w:p>
    <w:p w:rsidR="0032262B" w:rsidRDefault="0032262B" w:rsidP="0032262B"/>
    <w:tbl>
      <w:tblPr>
        <w:tblW w:w="0" w:type="auto"/>
        <w:tblInd w:w="108" w:type="dxa"/>
        <w:shd w:val="clear" w:color="auto" w:fill="D9F3E6"/>
        <w:tblLook w:val="04A0" w:firstRow="1" w:lastRow="0" w:firstColumn="1" w:lastColumn="0" w:noHBand="0" w:noVBand="1"/>
      </w:tblPr>
      <w:tblGrid>
        <w:gridCol w:w="8931"/>
      </w:tblGrid>
      <w:tr w:rsidR="0032262B" w:rsidRPr="00E674AF" w:rsidTr="0032676A">
        <w:tc>
          <w:tcPr>
            <w:tcW w:w="8931" w:type="dxa"/>
            <w:shd w:val="clear" w:color="auto" w:fill="D9F3E6"/>
          </w:tcPr>
          <w:p w:rsidR="0032262B" w:rsidRPr="00E674AF" w:rsidRDefault="0032262B" w:rsidP="0032676A">
            <w:r w:rsidRPr="00B7517F">
              <w:t>Staff propose to recommend the Commission:</w:t>
            </w:r>
          </w:p>
          <w:p w:rsidR="0032262B" w:rsidRPr="00E674AF" w:rsidRDefault="0032262B" w:rsidP="0032676A">
            <w:pPr>
              <w:pStyle w:val="CGCBulletlist"/>
              <w:numPr>
                <w:ilvl w:val="0"/>
                <w:numId w:val="1"/>
              </w:numPr>
              <w:tabs>
                <w:tab w:val="clear" w:pos="927"/>
                <w:tab w:val="clear" w:pos="1134"/>
              </w:tabs>
              <w:ind w:left="1134" w:hanging="567"/>
            </w:pPr>
            <w:r>
              <w:t>assess other land based taxes using land values for residential, commercial and industrial properties.</w:t>
            </w:r>
          </w:p>
        </w:tc>
      </w:tr>
    </w:tbl>
    <w:p w:rsidR="0032262B" w:rsidRDefault="0032262B" w:rsidP="0032262B">
      <w:pPr>
        <w:pStyle w:val="CGCNumberedPara"/>
        <w:numPr>
          <w:ilvl w:val="0"/>
          <w:numId w:val="0"/>
        </w:numPr>
        <w:ind w:left="567" w:hanging="567"/>
      </w:pPr>
    </w:p>
    <w:p w:rsidR="0032262B" w:rsidRPr="00526491" w:rsidRDefault="0032262B" w:rsidP="0032262B">
      <w:pPr>
        <w:pStyle w:val="Heading4"/>
      </w:pPr>
      <w:bookmarkStart w:id="24" w:name="_Toc511824723"/>
      <w:r>
        <w:t>Which source of data should the Commission use</w:t>
      </w:r>
      <w:r w:rsidR="0032676A">
        <w:t xml:space="preserve"> to assess revenue capacity</w:t>
      </w:r>
      <w:r>
        <w:t>?</w:t>
      </w:r>
      <w:bookmarkEnd w:id="24"/>
    </w:p>
    <w:p w:rsidR="0032262B" w:rsidRDefault="0032262B" w:rsidP="0032262B">
      <w:pPr>
        <w:pStyle w:val="CGCNumberedPara"/>
        <w:numPr>
          <w:ilvl w:val="1"/>
          <w:numId w:val="3"/>
        </w:numPr>
      </w:pPr>
      <w:r>
        <w:t>There are two main sources of land value data, SROs and Valuers-General (VGs).</w:t>
      </w:r>
    </w:p>
    <w:p w:rsidR="0032262B" w:rsidRDefault="0032262B" w:rsidP="0032262B">
      <w:pPr>
        <w:pStyle w:val="CGCBulletlist"/>
        <w:numPr>
          <w:ilvl w:val="0"/>
          <w:numId w:val="1"/>
        </w:numPr>
        <w:tabs>
          <w:tab w:val="clear" w:pos="927"/>
        </w:tabs>
        <w:ind w:left="1134" w:hanging="567"/>
      </w:pPr>
      <w:r>
        <w:t>SRO data have been used as the source of land value data since the 2010 Review.</w:t>
      </w:r>
    </w:p>
    <w:p w:rsidR="0032262B" w:rsidRDefault="0032262B" w:rsidP="0032262B">
      <w:pPr>
        <w:pStyle w:val="CGCBulletlist"/>
        <w:numPr>
          <w:ilvl w:val="0"/>
          <w:numId w:val="1"/>
        </w:numPr>
        <w:tabs>
          <w:tab w:val="clear" w:pos="927"/>
        </w:tabs>
        <w:ind w:left="1134" w:hanging="567"/>
      </w:pPr>
      <w:r>
        <w:t>VG data were the source of land value data prior to the 2010 Review.</w:t>
      </w:r>
    </w:p>
    <w:p w:rsidR="0032676A" w:rsidRDefault="0032676A" w:rsidP="0032676A">
      <w:pPr>
        <w:pStyle w:val="CGCNumberedPara"/>
        <w:numPr>
          <w:ilvl w:val="1"/>
          <w:numId w:val="3"/>
        </w:numPr>
      </w:pPr>
      <w:r w:rsidRPr="00B948BA">
        <w:rPr>
          <w:szCs w:val="22"/>
        </w:rPr>
        <w:t xml:space="preserve">In a December 2016 submission, Western Australia queried the land values being produced from SRO data. It said these land values were very different from those being produced by the ABS for its </w:t>
      </w:r>
      <w:r>
        <w:t>National Accounts publication.</w:t>
      </w:r>
      <w:r>
        <w:rPr>
          <w:rStyle w:val="FootnoteReference"/>
        </w:rPr>
        <w:footnoteReference w:id="14"/>
      </w:r>
      <w:r>
        <w:t xml:space="preserve"> </w:t>
      </w:r>
    </w:p>
    <w:p w:rsidR="0032262B" w:rsidRPr="0071625C" w:rsidRDefault="0032676A" w:rsidP="0032262B">
      <w:pPr>
        <w:pStyle w:val="CGCNumberedPara"/>
        <w:numPr>
          <w:ilvl w:val="1"/>
          <w:numId w:val="3"/>
        </w:numPr>
      </w:pPr>
      <w:r>
        <w:t>No</w:t>
      </w:r>
      <w:r w:rsidR="0032262B">
        <w:t xml:space="preserve"> data source is perfect. </w:t>
      </w:r>
      <w:r w:rsidR="0032262B" w:rsidRPr="00F3271C">
        <w:rPr>
          <w:szCs w:val="22"/>
        </w:rPr>
        <w:t xml:space="preserve">There are advantages and disadvantages </w:t>
      </w:r>
      <w:r w:rsidR="0032262B">
        <w:rPr>
          <w:szCs w:val="22"/>
        </w:rPr>
        <w:t>of</w:t>
      </w:r>
      <w:r w:rsidR="0032262B" w:rsidRPr="00F3271C">
        <w:rPr>
          <w:szCs w:val="22"/>
        </w:rPr>
        <w:t xml:space="preserve"> using each</w:t>
      </w:r>
      <w:r w:rsidR="0032262B">
        <w:rPr>
          <w:szCs w:val="22"/>
        </w:rPr>
        <w:t>.</w:t>
      </w:r>
    </w:p>
    <w:p w:rsidR="0032262B" w:rsidRPr="005629EE" w:rsidRDefault="0032262B" w:rsidP="0032262B">
      <w:pPr>
        <w:pStyle w:val="CGCBulletlist"/>
        <w:numPr>
          <w:ilvl w:val="0"/>
          <w:numId w:val="1"/>
        </w:numPr>
        <w:tabs>
          <w:tab w:val="clear" w:pos="927"/>
        </w:tabs>
        <w:ind w:left="1134" w:hanging="567"/>
      </w:pPr>
      <w:r w:rsidRPr="00E616EC">
        <w:rPr>
          <w:szCs w:val="22"/>
        </w:rPr>
        <w:t xml:space="preserve">VG data are </w:t>
      </w:r>
      <w:r>
        <w:rPr>
          <w:szCs w:val="22"/>
        </w:rPr>
        <w:t>likely to be more</w:t>
      </w:r>
      <w:r w:rsidRPr="00E616EC">
        <w:rPr>
          <w:szCs w:val="22"/>
        </w:rPr>
        <w:t xml:space="preserve"> comparable between the States, but </w:t>
      </w:r>
      <w:r>
        <w:rPr>
          <w:szCs w:val="22"/>
        </w:rPr>
        <w:t xml:space="preserve">they </w:t>
      </w:r>
      <w:r w:rsidRPr="00E616EC">
        <w:rPr>
          <w:szCs w:val="22"/>
        </w:rPr>
        <w:t xml:space="preserve">less accurately reflect how States levy land tax. </w:t>
      </w:r>
      <w:r>
        <w:t xml:space="preserve">The VGs </w:t>
      </w:r>
      <w:r>
        <w:rPr>
          <w:szCs w:val="22"/>
        </w:rPr>
        <w:t>value</w:t>
      </w:r>
      <w:r w:rsidRPr="00E616EC">
        <w:rPr>
          <w:szCs w:val="22"/>
        </w:rPr>
        <w:t xml:space="preserve"> each parcel of land</w:t>
      </w:r>
      <w:r>
        <w:rPr>
          <w:szCs w:val="22"/>
        </w:rPr>
        <w:t xml:space="preserve"> separately. They can provide land values on a site value basis. They are not able to:</w:t>
      </w:r>
    </w:p>
    <w:p w:rsidR="0032262B" w:rsidRPr="00166BC7" w:rsidRDefault="0032262B" w:rsidP="0032262B">
      <w:pPr>
        <w:pStyle w:val="CGCSubbulletlist"/>
        <w:numPr>
          <w:ilvl w:val="0"/>
          <w:numId w:val="4"/>
        </w:numPr>
        <w:tabs>
          <w:tab w:val="clear" w:pos="927"/>
        </w:tabs>
        <w:ind w:left="1701" w:hanging="567"/>
      </w:pPr>
      <w:r w:rsidRPr="00166BC7">
        <w:t>separate taxable residential land from non-taxable residential land</w:t>
      </w:r>
    </w:p>
    <w:p w:rsidR="0032262B" w:rsidRPr="00166BC7" w:rsidRDefault="0032262B" w:rsidP="0032262B">
      <w:pPr>
        <w:pStyle w:val="CGCSubbulletlist"/>
        <w:numPr>
          <w:ilvl w:val="0"/>
          <w:numId w:val="4"/>
        </w:numPr>
        <w:tabs>
          <w:tab w:val="clear" w:pos="927"/>
        </w:tabs>
        <w:ind w:left="1701" w:hanging="567"/>
      </w:pPr>
      <w:r w:rsidRPr="00166BC7">
        <w:t>aggregate individual land owners’ total taxable land holdings.</w:t>
      </w:r>
    </w:p>
    <w:p w:rsidR="0032262B" w:rsidRPr="0032676A" w:rsidRDefault="0032262B" w:rsidP="0032262B">
      <w:pPr>
        <w:pStyle w:val="CGCBulletlist"/>
        <w:numPr>
          <w:ilvl w:val="0"/>
          <w:numId w:val="1"/>
        </w:numPr>
        <w:tabs>
          <w:tab w:val="clear" w:pos="927"/>
        </w:tabs>
        <w:ind w:left="1134" w:hanging="567"/>
      </w:pPr>
      <w:r w:rsidRPr="00E616EC">
        <w:rPr>
          <w:szCs w:val="22"/>
        </w:rPr>
        <w:t xml:space="preserve">SRO land holdings data more closely reflect how States levy land tax. </w:t>
      </w:r>
      <w:r>
        <w:rPr>
          <w:szCs w:val="22"/>
        </w:rPr>
        <w:t>SROs are able to</w:t>
      </w:r>
      <w:r w:rsidRPr="00E616EC">
        <w:rPr>
          <w:szCs w:val="22"/>
        </w:rPr>
        <w:t xml:space="preserve"> exclude non-taxable land and </w:t>
      </w:r>
      <w:r>
        <w:rPr>
          <w:szCs w:val="22"/>
        </w:rPr>
        <w:t xml:space="preserve">to </w:t>
      </w:r>
      <w:r w:rsidRPr="00E616EC">
        <w:rPr>
          <w:szCs w:val="22"/>
        </w:rPr>
        <w:t>aggregate</w:t>
      </w:r>
      <w:r>
        <w:rPr>
          <w:szCs w:val="22"/>
        </w:rPr>
        <w:t xml:space="preserve"> the</w:t>
      </w:r>
      <w:r w:rsidRPr="00E616EC">
        <w:rPr>
          <w:szCs w:val="22"/>
        </w:rPr>
        <w:t xml:space="preserve"> land holdings of individual owners. However, each State’s data reflects the way it levies land tax —</w:t>
      </w:r>
      <w:r>
        <w:rPr>
          <w:szCs w:val="22"/>
        </w:rPr>
        <w:t xml:space="preserve"> </w:t>
      </w:r>
      <w:r w:rsidRPr="00E616EC">
        <w:rPr>
          <w:szCs w:val="22"/>
        </w:rPr>
        <w:t xml:space="preserve">its scope and exemptions, its treatment of jointly owned property and its valuation approach. Consequently, SRO data are </w:t>
      </w:r>
      <w:r>
        <w:rPr>
          <w:szCs w:val="22"/>
        </w:rPr>
        <w:t xml:space="preserve">more </w:t>
      </w:r>
      <w:r w:rsidRPr="00E616EC">
        <w:rPr>
          <w:szCs w:val="22"/>
        </w:rPr>
        <w:t>affected by individual State policies and are less comparable across States</w:t>
      </w:r>
      <w:r>
        <w:rPr>
          <w:szCs w:val="22"/>
        </w:rPr>
        <w:t>.</w:t>
      </w:r>
    </w:p>
    <w:p w:rsidR="00814FE3" w:rsidRDefault="00814FE3" w:rsidP="00814FE3">
      <w:pPr>
        <w:pStyle w:val="CGCBulletlist"/>
        <w:numPr>
          <w:ilvl w:val="0"/>
          <w:numId w:val="1"/>
        </w:numPr>
        <w:tabs>
          <w:tab w:val="clear" w:pos="927"/>
        </w:tabs>
        <w:ind w:left="1134" w:hanging="567"/>
      </w:pPr>
      <w:r>
        <w:t>The ABS constructs its own estimate for residential land values but uses VG data for commercial, industrial and rural land values. Its data are not aggregated by land owner, nor is it able to separate taxable from non</w:t>
      </w:r>
      <w:r>
        <w:noBreakHyphen/>
        <w:t>taxable land. Its values are on a site value basis. Commission staff are in discussions with the ABS on its land value series. Like the VG data series, the ABS series may require an adjustment to remove principal places of residence and an adjustment to impute some level of aggregation.</w:t>
      </w:r>
    </w:p>
    <w:p w:rsidR="00814FE3" w:rsidRPr="00814FE3" w:rsidRDefault="00814FE3" w:rsidP="00814FE3">
      <w:pPr>
        <w:pStyle w:val="CGCNumberedPara"/>
        <w:numPr>
          <w:ilvl w:val="1"/>
          <w:numId w:val="3"/>
        </w:numPr>
        <w:rPr>
          <w:szCs w:val="22"/>
        </w:rPr>
      </w:pPr>
      <w:r w:rsidRPr="00814FE3">
        <w:rPr>
          <w:szCs w:val="22"/>
        </w:rPr>
        <w:fldChar w:fldCharType="begin"/>
      </w:r>
      <w:r w:rsidRPr="00814FE3">
        <w:rPr>
          <w:szCs w:val="22"/>
        </w:rPr>
        <w:instrText xml:space="preserve"> REF _Ref507579510 \h </w:instrText>
      </w:r>
      <w:r>
        <w:rPr>
          <w:szCs w:val="22"/>
        </w:rPr>
        <w:instrText xml:space="preserve"> \* MERGEFORMAT </w:instrText>
      </w:r>
      <w:r w:rsidRPr="00814FE3">
        <w:rPr>
          <w:szCs w:val="22"/>
        </w:rPr>
      </w:r>
      <w:r w:rsidRPr="00814FE3">
        <w:rPr>
          <w:szCs w:val="22"/>
        </w:rPr>
        <w:fldChar w:fldCharType="separate"/>
      </w:r>
      <w:r w:rsidR="002839F7" w:rsidRPr="002839F7">
        <w:rPr>
          <w:szCs w:val="22"/>
        </w:rPr>
        <w:t>Table 7</w:t>
      </w:r>
      <w:r w:rsidRPr="00814FE3">
        <w:rPr>
          <w:szCs w:val="22"/>
        </w:rPr>
        <w:fldChar w:fldCharType="end"/>
      </w:r>
      <w:r w:rsidRPr="00814FE3">
        <w:rPr>
          <w:szCs w:val="22"/>
        </w:rPr>
        <w:t xml:space="preserve"> sets out the main features of each data source. </w:t>
      </w:r>
    </w:p>
    <w:p w:rsidR="00814FE3" w:rsidRDefault="00814FE3" w:rsidP="00814FE3">
      <w:pPr>
        <w:pStyle w:val="CGCTableHeading"/>
      </w:pPr>
      <w:bookmarkStart w:id="25" w:name="_Ref507579510"/>
      <w:r>
        <w:t xml:space="preserve">Table </w:t>
      </w:r>
      <w:fldSimple w:instr=" SEQ Table \* ARABIC ">
        <w:r w:rsidR="002839F7">
          <w:rPr>
            <w:noProof/>
          </w:rPr>
          <w:t>7</w:t>
        </w:r>
      </w:fldSimple>
      <w:bookmarkEnd w:id="25"/>
      <w:r>
        <w:tab/>
        <w:t>Sources of land value data</w:t>
      </w:r>
    </w:p>
    <w:tbl>
      <w:tblPr>
        <w:tblW w:w="5000" w:type="pct"/>
        <w:tblCellMar>
          <w:left w:w="85" w:type="dxa"/>
          <w:right w:w="85" w:type="dxa"/>
        </w:tblCellMar>
        <w:tblLook w:val="0000" w:firstRow="0" w:lastRow="0" w:firstColumn="0" w:lastColumn="0" w:noHBand="0" w:noVBand="0"/>
      </w:tblPr>
      <w:tblGrid>
        <w:gridCol w:w="2637"/>
        <w:gridCol w:w="2162"/>
        <w:gridCol w:w="2162"/>
        <w:gridCol w:w="2160"/>
      </w:tblGrid>
      <w:tr w:rsidR="00814FE3" w:rsidRPr="00DF65D6" w:rsidTr="00517BEC">
        <w:tc>
          <w:tcPr>
            <w:tcW w:w="1446" w:type="pct"/>
            <w:tcBorders>
              <w:top w:val="single" w:sz="6" w:space="0" w:color="auto"/>
              <w:bottom w:val="single" w:sz="6" w:space="0" w:color="auto"/>
            </w:tcBorders>
            <w:vAlign w:val="bottom"/>
          </w:tcPr>
          <w:p w:rsidR="00814FE3" w:rsidRPr="00DF65D6" w:rsidRDefault="00814FE3" w:rsidP="00517BEC">
            <w:pPr>
              <w:pStyle w:val="TableColHeadings"/>
              <w:jc w:val="left"/>
              <w:rPr>
                <w:rFonts w:cstheme="minorHAnsi"/>
              </w:rPr>
            </w:pPr>
          </w:p>
        </w:tc>
        <w:tc>
          <w:tcPr>
            <w:tcW w:w="1185" w:type="pct"/>
            <w:tcBorders>
              <w:top w:val="single" w:sz="6" w:space="0" w:color="auto"/>
              <w:bottom w:val="single" w:sz="6" w:space="0" w:color="auto"/>
            </w:tcBorders>
            <w:vAlign w:val="bottom"/>
          </w:tcPr>
          <w:p w:rsidR="00814FE3" w:rsidRPr="00DF65D6" w:rsidRDefault="00814FE3" w:rsidP="00517BEC">
            <w:pPr>
              <w:pStyle w:val="TableColHeadings"/>
              <w:jc w:val="left"/>
              <w:rPr>
                <w:rFonts w:cstheme="minorHAnsi"/>
              </w:rPr>
            </w:pPr>
            <w:r>
              <w:rPr>
                <w:rFonts w:cstheme="minorHAnsi"/>
              </w:rPr>
              <w:t xml:space="preserve">SRO </w:t>
            </w:r>
          </w:p>
        </w:tc>
        <w:tc>
          <w:tcPr>
            <w:tcW w:w="1185" w:type="pct"/>
            <w:tcBorders>
              <w:top w:val="single" w:sz="6" w:space="0" w:color="auto"/>
              <w:bottom w:val="single" w:sz="6" w:space="0" w:color="auto"/>
            </w:tcBorders>
            <w:vAlign w:val="bottom"/>
          </w:tcPr>
          <w:p w:rsidR="00814FE3" w:rsidRPr="00DF65D6" w:rsidRDefault="00814FE3" w:rsidP="00517BEC">
            <w:pPr>
              <w:pStyle w:val="TableColHeadings"/>
              <w:jc w:val="left"/>
              <w:rPr>
                <w:rFonts w:cstheme="minorHAnsi"/>
              </w:rPr>
            </w:pPr>
            <w:r>
              <w:rPr>
                <w:rFonts w:cstheme="minorHAnsi"/>
              </w:rPr>
              <w:t>Valuers-General</w:t>
            </w:r>
          </w:p>
        </w:tc>
        <w:tc>
          <w:tcPr>
            <w:tcW w:w="1185" w:type="pct"/>
            <w:tcBorders>
              <w:top w:val="single" w:sz="6" w:space="0" w:color="auto"/>
              <w:bottom w:val="single" w:sz="6" w:space="0" w:color="auto"/>
            </w:tcBorders>
            <w:vAlign w:val="bottom"/>
          </w:tcPr>
          <w:p w:rsidR="00814FE3" w:rsidRPr="00DF65D6" w:rsidRDefault="00814FE3" w:rsidP="00517BEC">
            <w:pPr>
              <w:pStyle w:val="TableColHeadings"/>
              <w:jc w:val="left"/>
              <w:rPr>
                <w:rFonts w:cstheme="minorHAnsi"/>
              </w:rPr>
            </w:pPr>
            <w:r>
              <w:rPr>
                <w:rFonts w:cstheme="minorHAnsi"/>
              </w:rPr>
              <w:t>ABS</w:t>
            </w:r>
          </w:p>
        </w:tc>
      </w:tr>
      <w:tr w:rsidR="00814FE3" w:rsidRPr="00DF65D6" w:rsidTr="00517BEC">
        <w:tc>
          <w:tcPr>
            <w:tcW w:w="1446" w:type="pct"/>
          </w:tcPr>
          <w:p w:rsidR="00814FE3" w:rsidRPr="00DF65D6" w:rsidRDefault="00814FE3" w:rsidP="00517BEC">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Basis of valuation</w:t>
            </w:r>
          </w:p>
        </w:tc>
        <w:tc>
          <w:tcPr>
            <w:tcW w:w="1185" w:type="pct"/>
          </w:tcPr>
          <w:p w:rsidR="00814FE3" w:rsidRPr="00DF65D6" w:rsidRDefault="00814FE3" w:rsidP="00517BEC">
            <w:pPr>
              <w:pStyle w:val="TableRowNormal"/>
              <w:ind w:left="0" w:firstLine="0"/>
              <w:jc w:val="left"/>
              <w:rPr>
                <w:rFonts w:cstheme="minorHAnsi"/>
              </w:rPr>
            </w:pPr>
            <w:r>
              <w:rPr>
                <w:rFonts w:cstheme="minorHAnsi"/>
              </w:rPr>
              <w:t>Various, but can convert to site values</w:t>
            </w:r>
          </w:p>
        </w:tc>
        <w:tc>
          <w:tcPr>
            <w:tcW w:w="1185" w:type="pct"/>
          </w:tcPr>
          <w:p w:rsidR="00814FE3" w:rsidRPr="00DF65D6" w:rsidRDefault="00814FE3" w:rsidP="00517BEC">
            <w:pPr>
              <w:pStyle w:val="TableRowNormal"/>
              <w:ind w:left="0" w:firstLine="0"/>
              <w:jc w:val="left"/>
              <w:rPr>
                <w:rFonts w:cstheme="minorHAnsi"/>
              </w:rPr>
            </w:pPr>
            <w:r>
              <w:rPr>
                <w:rFonts w:cstheme="minorHAnsi"/>
              </w:rPr>
              <w:t>Various, but can convert to site values</w:t>
            </w:r>
          </w:p>
        </w:tc>
        <w:tc>
          <w:tcPr>
            <w:tcW w:w="1185" w:type="pct"/>
          </w:tcPr>
          <w:p w:rsidR="00814FE3" w:rsidRPr="00DF65D6" w:rsidRDefault="00814FE3" w:rsidP="00517BEC">
            <w:pPr>
              <w:pStyle w:val="TableRowNormal"/>
              <w:ind w:left="0" w:firstLine="0"/>
              <w:jc w:val="left"/>
              <w:rPr>
                <w:rFonts w:cstheme="minorHAnsi"/>
              </w:rPr>
            </w:pPr>
            <w:r>
              <w:rPr>
                <w:rFonts w:cstheme="minorHAnsi"/>
              </w:rPr>
              <w:t>Market value</w:t>
            </w:r>
          </w:p>
        </w:tc>
      </w:tr>
      <w:tr w:rsidR="00814FE3" w:rsidRPr="00DF65D6" w:rsidTr="00517BEC">
        <w:tc>
          <w:tcPr>
            <w:tcW w:w="1446" w:type="pct"/>
          </w:tcPr>
          <w:p w:rsidR="00814FE3" w:rsidRPr="00DF65D6" w:rsidRDefault="00814FE3" w:rsidP="00517BEC">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Principal place of residence</w:t>
            </w:r>
          </w:p>
        </w:tc>
        <w:tc>
          <w:tcPr>
            <w:tcW w:w="1185" w:type="pct"/>
          </w:tcPr>
          <w:p w:rsidR="00814FE3" w:rsidRPr="00DF65D6" w:rsidRDefault="00814FE3" w:rsidP="00517BEC">
            <w:pPr>
              <w:pStyle w:val="TableRowNormal"/>
              <w:ind w:left="0" w:firstLine="0"/>
              <w:jc w:val="left"/>
              <w:rPr>
                <w:rFonts w:cstheme="minorHAnsi"/>
              </w:rPr>
            </w:pPr>
            <w:r>
              <w:rPr>
                <w:rFonts w:cstheme="minorHAnsi"/>
              </w:rPr>
              <w:t>Excluded</w:t>
            </w:r>
          </w:p>
        </w:tc>
        <w:tc>
          <w:tcPr>
            <w:tcW w:w="1185" w:type="pct"/>
          </w:tcPr>
          <w:p w:rsidR="00814FE3" w:rsidRPr="00DF65D6" w:rsidRDefault="00814FE3" w:rsidP="00517BEC">
            <w:pPr>
              <w:pStyle w:val="TableRowNormal"/>
              <w:ind w:left="0" w:firstLine="0"/>
              <w:jc w:val="left"/>
              <w:rPr>
                <w:rFonts w:cstheme="minorHAnsi"/>
              </w:rPr>
            </w:pPr>
            <w:r>
              <w:rPr>
                <w:rFonts w:cstheme="minorHAnsi"/>
              </w:rPr>
              <w:t>Included, cannot identify to remove</w:t>
            </w:r>
          </w:p>
        </w:tc>
        <w:tc>
          <w:tcPr>
            <w:tcW w:w="1185" w:type="pct"/>
          </w:tcPr>
          <w:p w:rsidR="00814FE3" w:rsidRPr="00DF65D6" w:rsidRDefault="00814FE3" w:rsidP="00517BEC">
            <w:pPr>
              <w:pStyle w:val="TableRowNormal"/>
              <w:ind w:left="0" w:firstLine="0"/>
              <w:jc w:val="left"/>
              <w:rPr>
                <w:rFonts w:cstheme="minorHAnsi"/>
              </w:rPr>
            </w:pPr>
            <w:r>
              <w:rPr>
                <w:rFonts w:cstheme="minorHAnsi"/>
              </w:rPr>
              <w:t>Included, cannot identify to remove</w:t>
            </w:r>
          </w:p>
        </w:tc>
      </w:tr>
      <w:tr w:rsidR="00814FE3" w:rsidRPr="00DF65D6" w:rsidTr="00517BEC">
        <w:tc>
          <w:tcPr>
            <w:tcW w:w="1446" w:type="pct"/>
          </w:tcPr>
          <w:p w:rsidR="00814FE3" w:rsidRPr="00DF65D6" w:rsidRDefault="00814FE3" w:rsidP="00517BEC">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Aggregation</w:t>
            </w:r>
          </w:p>
        </w:tc>
        <w:tc>
          <w:tcPr>
            <w:tcW w:w="1185" w:type="pct"/>
          </w:tcPr>
          <w:p w:rsidR="00814FE3" w:rsidRPr="00DF65D6" w:rsidRDefault="00814FE3" w:rsidP="00517BEC">
            <w:pPr>
              <w:pStyle w:val="TableRowNormal"/>
              <w:ind w:left="0" w:firstLine="0"/>
              <w:jc w:val="left"/>
              <w:rPr>
                <w:rFonts w:cstheme="minorHAnsi"/>
              </w:rPr>
            </w:pPr>
            <w:r>
              <w:rPr>
                <w:rFonts w:cstheme="minorHAnsi"/>
              </w:rPr>
              <w:t>Can aggregate land holdings</w:t>
            </w:r>
          </w:p>
        </w:tc>
        <w:tc>
          <w:tcPr>
            <w:tcW w:w="1185" w:type="pct"/>
          </w:tcPr>
          <w:p w:rsidR="00814FE3" w:rsidRPr="00DF65D6" w:rsidRDefault="00814FE3" w:rsidP="00517BEC">
            <w:pPr>
              <w:pStyle w:val="TableRowNormal"/>
              <w:ind w:left="0" w:firstLine="0"/>
              <w:jc w:val="left"/>
              <w:rPr>
                <w:rFonts w:cstheme="minorHAnsi"/>
              </w:rPr>
            </w:pPr>
            <w:r>
              <w:rPr>
                <w:rFonts w:cstheme="minorHAnsi"/>
              </w:rPr>
              <w:t>Cannot aggregate as cannot identify owners</w:t>
            </w:r>
          </w:p>
        </w:tc>
        <w:tc>
          <w:tcPr>
            <w:tcW w:w="1185" w:type="pct"/>
          </w:tcPr>
          <w:p w:rsidR="00814FE3" w:rsidRPr="00DF65D6" w:rsidRDefault="00814FE3" w:rsidP="00517BEC">
            <w:pPr>
              <w:pStyle w:val="TableRowNormal"/>
              <w:ind w:left="0" w:firstLine="0"/>
              <w:jc w:val="left"/>
              <w:rPr>
                <w:rFonts w:cstheme="minorHAnsi"/>
              </w:rPr>
            </w:pPr>
            <w:r>
              <w:rPr>
                <w:rFonts w:cstheme="minorHAnsi"/>
              </w:rPr>
              <w:t>Cannot aggregate as cannot identify owners</w:t>
            </w:r>
          </w:p>
        </w:tc>
      </w:tr>
      <w:tr w:rsidR="00814FE3" w:rsidRPr="00DF65D6" w:rsidTr="00517BEC">
        <w:tc>
          <w:tcPr>
            <w:tcW w:w="1446" w:type="pct"/>
          </w:tcPr>
          <w:p w:rsidR="00814FE3" w:rsidRDefault="00814FE3" w:rsidP="00517BEC">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Treatment of joint properties</w:t>
            </w:r>
          </w:p>
        </w:tc>
        <w:tc>
          <w:tcPr>
            <w:tcW w:w="1185" w:type="pct"/>
          </w:tcPr>
          <w:p w:rsidR="00814FE3" w:rsidRPr="00DF65D6" w:rsidRDefault="00814FE3" w:rsidP="00517BEC">
            <w:pPr>
              <w:pStyle w:val="TableRowNormal"/>
              <w:ind w:left="0" w:firstLine="0"/>
              <w:jc w:val="left"/>
              <w:rPr>
                <w:rFonts w:cstheme="minorHAnsi"/>
              </w:rPr>
            </w:pPr>
            <w:r>
              <w:rPr>
                <w:rFonts w:cstheme="minorHAnsi"/>
              </w:rPr>
              <w:t>Different treatment in different States</w:t>
            </w:r>
          </w:p>
        </w:tc>
        <w:tc>
          <w:tcPr>
            <w:tcW w:w="1185" w:type="pct"/>
          </w:tcPr>
          <w:p w:rsidR="00814FE3" w:rsidRPr="00DF65D6" w:rsidRDefault="00814FE3" w:rsidP="00517BEC">
            <w:pPr>
              <w:pStyle w:val="TableRowNormal"/>
              <w:ind w:left="0" w:firstLine="0"/>
              <w:jc w:val="left"/>
              <w:rPr>
                <w:rFonts w:cstheme="minorHAnsi"/>
              </w:rPr>
            </w:pPr>
            <w:r>
              <w:rPr>
                <w:rFonts w:cstheme="minorHAnsi"/>
              </w:rPr>
              <w:t>Cannot identify owners</w:t>
            </w:r>
          </w:p>
        </w:tc>
        <w:tc>
          <w:tcPr>
            <w:tcW w:w="1185" w:type="pct"/>
          </w:tcPr>
          <w:p w:rsidR="00814FE3" w:rsidRPr="00DF65D6" w:rsidRDefault="00814FE3" w:rsidP="00517BEC">
            <w:pPr>
              <w:pStyle w:val="TableRowNormal"/>
              <w:ind w:left="0" w:firstLine="0"/>
              <w:jc w:val="left"/>
              <w:rPr>
                <w:rFonts w:cstheme="minorHAnsi"/>
              </w:rPr>
            </w:pPr>
            <w:r>
              <w:rPr>
                <w:rFonts w:cstheme="minorHAnsi"/>
              </w:rPr>
              <w:t>Cannot identify owners</w:t>
            </w:r>
          </w:p>
        </w:tc>
      </w:tr>
      <w:tr w:rsidR="00814FE3" w:rsidRPr="00DF65D6" w:rsidTr="00517BEC">
        <w:tc>
          <w:tcPr>
            <w:tcW w:w="1446" w:type="pct"/>
            <w:tcBorders>
              <w:bottom w:val="single" w:sz="4" w:space="0" w:color="auto"/>
            </w:tcBorders>
          </w:tcPr>
          <w:p w:rsidR="00814FE3" w:rsidRDefault="00814FE3" w:rsidP="00517BEC">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Available by value range</w:t>
            </w:r>
          </w:p>
        </w:tc>
        <w:tc>
          <w:tcPr>
            <w:tcW w:w="1185" w:type="pct"/>
            <w:tcBorders>
              <w:bottom w:val="single" w:sz="4" w:space="0" w:color="auto"/>
            </w:tcBorders>
          </w:tcPr>
          <w:p w:rsidR="00814FE3" w:rsidRPr="00DF65D6" w:rsidRDefault="00814FE3" w:rsidP="00517BEC">
            <w:pPr>
              <w:pStyle w:val="TableRowNormal"/>
              <w:ind w:left="0" w:firstLine="0"/>
              <w:jc w:val="left"/>
              <w:rPr>
                <w:rFonts w:cstheme="minorHAnsi"/>
              </w:rPr>
            </w:pPr>
            <w:r>
              <w:rPr>
                <w:rFonts w:cstheme="minorHAnsi"/>
              </w:rPr>
              <w:t>Yes</w:t>
            </w:r>
          </w:p>
        </w:tc>
        <w:tc>
          <w:tcPr>
            <w:tcW w:w="1185" w:type="pct"/>
            <w:tcBorders>
              <w:bottom w:val="single" w:sz="4" w:space="0" w:color="auto"/>
            </w:tcBorders>
          </w:tcPr>
          <w:p w:rsidR="00814FE3" w:rsidRPr="00DF65D6" w:rsidRDefault="00814FE3" w:rsidP="00517BEC">
            <w:pPr>
              <w:pStyle w:val="TableRowNormal"/>
              <w:ind w:left="0" w:firstLine="0"/>
              <w:jc w:val="left"/>
              <w:rPr>
                <w:rFonts w:cstheme="minorHAnsi"/>
              </w:rPr>
            </w:pPr>
            <w:r>
              <w:rPr>
                <w:rFonts w:cstheme="minorHAnsi"/>
              </w:rPr>
              <w:t>Yes</w:t>
            </w:r>
          </w:p>
        </w:tc>
        <w:tc>
          <w:tcPr>
            <w:tcW w:w="1185" w:type="pct"/>
            <w:tcBorders>
              <w:bottom w:val="single" w:sz="4" w:space="0" w:color="auto"/>
            </w:tcBorders>
          </w:tcPr>
          <w:p w:rsidR="00814FE3" w:rsidRPr="00DF65D6" w:rsidRDefault="00814FE3" w:rsidP="00517BEC">
            <w:pPr>
              <w:pStyle w:val="TableRowNormal"/>
              <w:ind w:left="0" w:firstLine="0"/>
              <w:jc w:val="left"/>
              <w:rPr>
                <w:rFonts w:cstheme="minorHAnsi"/>
              </w:rPr>
            </w:pPr>
            <w:r>
              <w:rPr>
                <w:rFonts w:cstheme="minorHAnsi"/>
              </w:rPr>
              <w:t>Unknown</w:t>
            </w:r>
          </w:p>
        </w:tc>
      </w:tr>
    </w:tbl>
    <w:p w:rsidR="00814FE3" w:rsidRDefault="00814FE3" w:rsidP="00814FE3">
      <w:pPr>
        <w:pStyle w:val="CGCTableFootnote"/>
      </w:pPr>
      <w:r>
        <w:t>Source:</w:t>
      </w:r>
      <w:r>
        <w:tab/>
        <w:t>State provided data.</w:t>
      </w:r>
    </w:p>
    <w:p w:rsidR="0032262B" w:rsidRPr="0071625C" w:rsidRDefault="00814FE3" w:rsidP="0032262B">
      <w:pPr>
        <w:pStyle w:val="CGCNumberedPara"/>
        <w:numPr>
          <w:ilvl w:val="1"/>
          <w:numId w:val="3"/>
        </w:numPr>
      </w:pPr>
      <w:r>
        <w:rPr>
          <w:szCs w:val="22"/>
        </w:rPr>
        <w:t>In the 2010 Review and again in the 2015 Review, t</w:t>
      </w:r>
      <w:r w:rsidR="0032262B">
        <w:rPr>
          <w:szCs w:val="22"/>
        </w:rPr>
        <w:t>he Commission choose to use</w:t>
      </w:r>
      <w:r w:rsidR="0032262B" w:rsidRPr="00E616EC">
        <w:rPr>
          <w:szCs w:val="22"/>
        </w:rPr>
        <w:t xml:space="preserve"> SRO holdings data on conceptual grounds</w:t>
      </w:r>
      <w:r w:rsidR="0032262B">
        <w:rPr>
          <w:szCs w:val="22"/>
        </w:rPr>
        <w:t>, because it more closely related to how States imposed Land tax</w:t>
      </w:r>
      <w:r w:rsidR="0032262B" w:rsidRPr="00E616EC">
        <w:rPr>
          <w:szCs w:val="22"/>
        </w:rPr>
        <w:t xml:space="preserve">. All States, except the ACT and the Northern Territory, levy land tax on the aggregated land holdings of individual owners. The SRO holdings data are on this basis, the VG data are not. </w:t>
      </w:r>
      <w:r w:rsidR="0032262B">
        <w:rPr>
          <w:szCs w:val="22"/>
        </w:rPr>
        <w:t xml:space="preserve">If VG data were used, the Commission would have to contemplate whether there should be an adjustment to remove principal places of residence and an adjustment to impute some level of aggregation. </w:t>
      </w:r>
      <w:r w:rsidR="0032262B" w:rsidRPr="00E616EC">
        <w:rPr>
          <w:szCs w:val="22"/>
        </w:rPr>
        <w:t xml:space="preserve">While </w:t>
      </w:r>
      <w:r w:rsidR="0032262B">
        <w:rPr>
          <w:szCs w:val="22"/>
        </w:rPr>
        <w:t>the Commission had</w:t>
      </w:r>
      <w:r w:rsidR="0032262B" w:rsidRPr="00E616EC">
        <w:rPr>
          <w:szCs w:val="22"/>
        </w:rPr>
        <w:t xml:space="preserve"> some concerns about comparability, </w:t>
      </w:r>
      <w:r w:rsidR="0032262B">
        <w:rPr>
          <w:szCs w:val="22"/>
        </w:rPr>
        <w:t>it</w:t>
      </w:r>
      <w:r w:rsidR="0032262B" w:rsidRPr="00E616EC">
        <w:rPr>
          <w:szCs w:val="22"/>
        </w:rPr>
        <w:t xml:space="preserve"> decided to source land </w:t>
      </w:r>
      <w:r w:rsidR="0032262B">
        <w:rPr>
          <w:szCs w:val="22"/>
        </w:rPr>
        <w:t xml:space="preserve">value </w:t>
      </w:r>
      <w:r w:rsidR="0032262B" w:rsidRPr="00E616EC">
        <w:rPr>
          <w:szCs w:val="22"/>
        </w:rPr>
        <w:t>data from S</w:t>
      </w:r>
      <w:r w:rsidR="0032262B">
        <w:rPr>
          <w:szCs w:val="22"/>
        </w:rPr>
        <w:t>RO</w:t>
      </w:r>
      <w:r w:rsidR="0032262B" w:rsidRPr="00E616EC">
        <w:rPr>
          <w:szCs w:val="22"/>
        </w:rPr>
        <w:t>s</w:t>
      </w:r>
      <w:r w:rsidR="0032262B">
        <w:rPr>
          <w:szCs w:val="22"/>
        </w:rPr>
        <w:t>.</w:t>
      </w:r>
    </w:p>
    <w:p w:rsidR="00814FE3" w:rsidRPr="002765A0" w:rsidRDefault="0032262B" w:rsidP="00814FE3">
      <w:pPr>
        <w:pStyle w:val="CGCNumberedPara"/>
        <w:numPr>
          <w:ilvl w:val="1"/>
          <w:numId w:val="3"/>
        </w:numPr>
      </w:pPr>
      <w:r>
        <w:fldChar w:fldCharType="begin"/>
      </w:r>
      <w:r>
        <w:instrText xml:space="preserve"> REF _Ref507579510 \h </w:instrText>
      </w:r>
      <w:r>
        <w:fldChar w:fldCharType="separate"/>
      </w:r>
      <w:r w:rsidR="002839F7">
        <w:t xml:space="preserve">Table </w:t>
      </w:r>
      <w:r w:rsidR="002839F7">
        <w:rPr>
          <w:noProof/>
        </w:rPr>
        <w:t>7</w:t>
      </w:r>
      <w:r>
        <w:fldChar w:fldCharType="end"/>
      </w:r>
      <w:r>
        <w:t xml:space="preserve"> shows that only the SRO data allows for aggregation, although adjustments are required to make States’ aggregation approaches more comparable. </w:t>
      </w:r>
      <w:r w:rsidR="00814FE3">
        <w:t xml:space="preserve">Western Australia’s concern appears to be the reliability of data on the combined </w:t>
      </w:r>
      <w:r w:rsidR="00814FE3">
        <w:rPr>
          <w:szCs w:val="22"/>
        </w:rPr>
        <w:t xml:space="preserve">value of a land owner’s </w:t>
      </w:r>
      <w:r w:rsidR="00814FE3">
        <w:t xml:space="preserve">taxable land holdings that flow out of these aggregation approaches. </w:t>
      </w:r>
    </w:p>
    <w:p w:rsidR="00814FE3" w:rsidRPr="001C644D" w:rsidRDefault="00814FE3" w:rsidP="0032262B">
      <w:pPr>
        <w:pStyle w:val="CGCNumberedPara"/>
        <w:numPr>
          <w:ilvl w:val="1"/>
          <w:numId w:val="3"/>
        </w:numPr>
      </w:pPr>
      <w:r w:rsidRPr="001C644D">
        <w:t>Staff have two main concerns with the adjustment process:</w:t>
      </w:r>
    </w:p>
    <w:p w:rsidR="00814FE3" w:rsidRPr="001C644D" w:rsidRDefault="00814FE3" w:rsidP="00814FE3">
      <w:pPr>
        <w:pStyle w:val="CGCBulletlist"/>
      </w:pPr>
      <w:r w:rsidRPr="001C644D">
        <w:t>adjustments are made to the largest tax bases, th</w:t>
      </w:r>
      <w:r w:rsidR="002C1EDE" w:rsidRPr="001C644D">
        <w:t xml:space="preserve">ose for </w:t>
      </w:r>
      <w:r w:rsidRPr="001C644D">
        <w:t>New South Wales, Victoria and Queensland</w:t>
      </w:r>
    </w:p>
    <w:p w:rsidR="00814FE3" w:rsidRPr="001C644D" w:rsidRDefault="00814FE3" w:rsidP="00814FE3">
      <w:pPr>
        <w:pStyle w:val="CGCBulletlist"/>
      </w:pPr>
      <w:r w:rsidRPr="001C644D">
        <w:t>there is no way to independently verify the reliability of th</w:t>
      </w:r>
      <w:r w:rsidR="001C644D" w:rsidRPr="001C644D">
        <w:t>es</w:t>
      </w:r>
      <w:r w:rsidRPr="001C644D">
        <w:t>e adjustments</w:t>
      </w:r>
      <w:r w:rsidR="002C1EDE" w:rsidRPr="001C644D">
        <w:t>, which are</w:t>
      </w:r>
      <w:r w:rsidRPr="001C644D">
        <w:t xml:space="preserve"> made by States</w:t>
      </w:r>
      <w:r w:rsidR="002C1EDE" w:rsidRPr="001C644D">
        <w:t xml:space="preserve"> themselves</w:t>
      </w:r>
      <w:r w:rsidRPr="001C644D">
        <w:t>.</w:t>
      </w:r>
    </w:p>
    <w:p w:rsidR="00814FE3" w:rsidRPr="001C644D" w:rsidRDefault="00814FE3" w:rsidP="0032262B">
      <w:pPr>
        <w:pStyle w:val="CGCNumberedPara"/>
        <w:numPr>
          <w:ilvl w:val="1"/>
          <w:numId w:val="3"/>
        </w:numPr>
      </w:pPr>
      <w:r w:rsidRPr="001C644D">
        <w:t xml:space="preserve">It </w:t>
      </w:r>
      <w:r w:rsidR="00D81FCE" w:rsidRPr="001C644D">
        <w:t xml:space="preserve">was due to these concerns about the reliability and comparability of </w:t>
      </w:r>
      <w:r w:rsidR="008634C9" w:rsidRPr="001C644D">
        <w:t xml:space="preserve">adjusted </w:t>
      </w:r>
      <w:r w:rsidR="00D81FCE" w:rsidRPr="001C644D">
        <w:t xml:space="preserve">SRO data </w:t>
      </w:r>
      <w:r w:rsidRPr="001C644D">
        <w:t xml:space="preserve">that </w:t>
      </w:r>
      <w:r w:rsidR="00D81FCE" w:rsidRPr="001C644D">
        <w:t>the Commission applied a 25% discount to the assessment. Unless a more comparable and reliable way of making these adjustments</w:t>
      </w:r>
      <w:r w:rsidR="00202FAD" w:rsidRPr="001C644D">
        <w:t xml:space="preserve"> is found</w:t>
      </w:r>
      <w:r w:rsidR="00D81FCE" w:rsidRPr="001C644D">
        <w:t xml:space="preserve">, it is </w:t>
      </w:r>
      <w:r w:rsidR="00163DD4">
        <w:t>possible</w:t>
      </w:r>
      <w:r w:rsidR="00D81FCE" w:rsidRPr="001C644D">
        <w:t xml:space="preserve"> that the Commission </w:t>
      </w:r>
      <w:r w:rsidR="00163DD4">
        <w:t>may</w:t>
      </w:r>
      <w:r w:rsidR="00D81FCE" w:rsidRPr="001C644D">
        <w:t xml:space="preserve"> continue to conclude that a discount is necessary should SRO data continue to be used for the assessment. </w:t>
      </w:r>
    </w:p>
    <w:p w:rsidR="0032262B" w:rsidRPr="0071625C" w:rsidRDefault="00D81FCE" w:rsidP="0032262B">
      <w:pPr>
        <w:pStyle w:val="CGCNumberedPara"/>
        <w:numPr>
          <w:ilvl w:val="1"/>
          <w:numId w:val="3"/>
        </w:numPr>
      </w:pPr>
      <w:r>
        <w:t>On the other hand, only the SRO data exclude principal places of residence. If VG or ABS data are used, an adjustment would be required to remove principal places of residence.</w:t>
      </w:r>
      <w:r>
        <w:rPr>
          <w:rStyle w:val="FootnoteReference"/>
        </w:rPr>
        <w:footnoteReference w:id="15"/>
      </w:r>
      <w:r>
        <w:t xml:space="preserve"> Staff do not yet know whether the ABS data can be provided by value range. The adjustment for progressive rates of tax requires land value data by value range. </w:t>
      </w:r>
      <w:r w:rsidR="0032262B" w:rsidRPr="00F3271C">
        <w:rPr>
          <w:szCs w:val="22"/>
        </w:rPr>
        <w:t xml:space="preserve">As part of the 2020 Review, staff propose </w:t>
      </w:r>
      <w:r w:rsidR="0032262B">
        <w:rPr>
          <w:szCs w:val="22"/>
        </w:rPr>
        <w:t>to recommend to the Commission that it</w:t>
      </w:r>
      <w:r w:rsidR="0032262B" w:rsidRPr="00F3271C">
        <w:rPr>
          <w:szCs w:val="22"/>
        </w:rPr>
        <w:t xml:space="preserve"> engage with States on which </w:t>
      </w:r>
      <w:r w:rsidR="0032262B">
        <w:rPr>
          <w:szCs w:val="22"/>
        </w:rPr>
        <w:t>would be</w:t>
      </w:r>
      <w:r w:rsidR="0032262B" w:rsidRPr="00F3271C">
        <w:rPr>
          <w:szCs w:val="22"/>
        </w:rPr>
        <w:t xml:space="preserve"> the </w:t>
      </w:r>
      <w:r w:rsidR="0032262B">
        <w:rPr>
          <w:szCs w:val="22"/>
        </w:rPr>
        <w:t>most appropriate</w:t>
      </w:r>
      <w:r w:rsidR="0032262B" w:rsidRPr="00F3271C">
        <w:rPr>
          <w:szCs w:val="22"/>
        </w:rPr>
        <w:t xml:space="preserve"> data source. This work </w:t>
      </w:r>
      <w:r w:rsidR="0032262B">
        <w:rPr>
          <w:szCs w:val="22"/>
        </w:rPr>
        <w:t>could be undertaken via the</w:t>
      </w:r>
      <w:r w:rsidR="0032262B" w:rsidRPr="00F3271C">
        <w:rPr>
          <w:szCs w:val="22"/>
        </w:rPr>
        <w:t xml:space="preserve"> </w:t>
      </w:r>
      <w:r>
        <w:rPr>
          <w:szCs w:val="22"/>
        </w:rPr>
        <w:t>Officer</w:t>
      </w:r>
      <w:r w:rsidR="0032262B" w:rsidRPr="00F3271C">
        <w:rPr>
          <w:szCs w:val="22"/>
        </w:rPr>
        <w:t xml:space="preserve"> Working Party </w:t>
      </w:r>
      <w:r w:rsidR="0032262B">
        <w:rPr>
          <w:szCs w:val="22"/>
        </w:rPr>
        <w:t>(</w:t>
      </w:r>
      <w:r>
        <w:rPr>
          <w:szCs w:val="22"/>
        </w:rPr>
        <w:t>O</w:t>
      </w:r>
      <w:r w:rsidR="0032262B">
        <w:rPr>
          <w:szCs w:val="22"/>
        </w:rPr>
        <w:t xml:space="preserve">WP) </w:t>
      </w:r>
      <w:r w:rsidR="0032262B" w:rsidRPr="00F3271C">
        <w:rPr>
          <w:szCs w:val="22"/>
        </w:rPr>
        <w:t>process.</w:t>
      </w:r>
      <w:r w:rsidR="0032262B">
        <w:rPr>
          <w:szCs w:val="22"/>
        </w:rPr>
        <w:t xml:space="preserve"> The </w:t>
      </w:r>
      <w:r>
        <w:rPr>
          <w:szCs w:val="22"/>
        </w:rPr>
        <w:t>O</w:t>
      </w:r>
      <w:r w:rsidR="0032262B">
        <w:rPr>
          <w:szCs w:val="22"/>
        </w:rPr>
        <w:t>WP could provide advice on which land value data the Commission should use and on the scope of any data collection the Commission might undertake. Commission staff propose an initial meeting in July.</w:t>
      </w:r>
    </w:p>
    <w:p w:rsidR="0032262B" w:rsidRDefault="0032262B" w:rsidP="0032262B"/>
    <w:p w:rsidR="00A538F6" w:rsidRDefault="00A538F6" w:rsidP="0032262B"/>
    <w:p w:rsidR="00A538F6" w:rsidRDefault="00A538F6" w:rsidP="0032262B"/>
    <w:tbl>
      <w:tblPr>
        <w:tblW w:w="0" w:type="auto"/>
        <w:tblInd w:w="108" w:type="dxa"/>
        <w:shd w:val="clear" w:color="auto" w:fill="D9F3E6"/>
        <w:tblLook w:val="04A0" w:firstRow="1" w:lastRow="0" w:firstColumn="1" w:lastColumn="0" w:noHBand="0" w:noVBand="1"/>
      </w:tblPr>
      <w:tblGrid>
        <w:gridCol w:w="8931"/>
      </w:tblGrid>
      <w:tr w:rsidR="0032262B" w:rsidRPr="00E674AF" w:rsidTr="0032676A">
        <w:tc>
          <w:tcPr>
            <w:tcW w:w="8931" w:type="dxa"/>
            <w:shd w:val="clear" w:color="auto" w:fill="D9F3E6"/>
          </w:tcPr>
          <w:p w:rsidR="0032262B" w:rsidRPr="00E674AF" w:rsidRDefault="0032262B" w:rsidP="0032676A">
            <w:r w:rsidRPr="00B7517F">
              <w:t>Staff propose to recommend the Commission:</w:t>
            </w:r>
          </w:p>
          <w:p w:rsidR="0032262B" w:rsidRPr="00E674AF" w:rsidRDefault="0032262B" w:rsidP="00D81FCE">
            <w:pPr>
              <w:pStyle w:val="CGCBulletlist"/>
              <w:numPr>
                <w:ilvl w:val="0"/>
                <w:numId w:val="1"/>
              </w:numPr>
              <w:tabs>
                <w:tab w:val="clear" w:pos="927"/>
                <w:tab w:val="clear" w:pos="1134"/>
              </w:tabs>
              <w:ind w:left="1134" w:hanging="567"/>
            </w:pPr>
            <w:r>
              <w:t xml:space="preserve">seek views from </w:t>
            </w:r>
            <w:r w:rsidR="00D81FCE">
              <w:t>the Officer</w:t>
            </w:r>
            <w:r>
              <w:t xml:space="preserve"> Working Party on which </w:t>
            </w:r>
            <w:r w:rsidR="00D81FCE">
              <w:t>is</w:t>
            </w:r>
            <w:r>
              <w:t xml:space="preserve"> the most appropriate source of land value data</w:t>
            </w:r>
            <w:r w:rsidR="00D81FCE">
              <w:t xml:space="preserve"> and what adjustments may be required to make States’ measured tax bases comparable.</w:t>
            </w:r>
          </w:p>
        </w:tc>
      </w:tr>
    </w:tbl>
    <w:p w:rsidR="0032262B" w:rsidRPr="00E674AF" w:rsidRDefault="0032262B" w:rsidP="0032262B">
      <w:pPr>
        <w:tabs>
          <w:tab w:val="clear" w:pos="567"/>
        </w:tabs>
      </w:pPr>
    </w:p>
    <w:p w:rsidR="0032262B" w:rsidRDefault="0032262B" w:rsidP="0032262B">
      <w:pPr>
        <w:pStyle w:val="Heading4"/>
      </w:pPr>
      <w:bookmarkStart w:id="26" w:name="_Toc511824724"/>
      <w:r>
        <w:t>Other issues considered</w:t>
      </w:r>
      <w:bookmarkEnd w:id="26"/>
    </w:p>
    <w:p w:rsidR="0032262B" w:rsidRPr="0071625C" w:rsidRDefault="0032262B" w:rsidP="0032262B">
      <w:pPr>
        <w:pStyle w:val="CGCNumberedPara"/>
        <w:numPr>
          <w:ilvl w:val="1"/>
          <w:numId w:val="3"/>
        </w:numPr>
      </w:pPr>
      <w:r>
        <w:rPr>
          <w:rStyle w:val="Heading6Char"/>
        </w:rPr>
        <w:t>Elasticity adjustment</w:t>
      </w:r>
      <w:r w:rsidRPr="00B7517F">
        <w:rPr>
          <w:rStyle w:val="Heading6Char"/>
        </w:rPr>
        <w:t>.</w:t>
      </w:r>
      <w:r>
        <w:t xml:space="preserve"> The Commission has engaged consultants to provide advice on whether it should consider reinstating elasticity adjustments and, if so, for which categories. </w:t>
      </w:r>
      <w:r w:rsidRPr="00B948BA">
        <w:rPr>
          <w:szCs w:val="22"/>
        </w:rPr>
        <w:t xml:space="preserve">The question whether an elasticity adjustment </w:t>
      </w:r>
      <w:r w:rsidR="009943C0">
        <w:rPr>
          <w:szCs w:val="22"/>
        </w:rPr>
        <w:t>could</w:t>
      </w:r>
      <w:r w:rsidRPr="00B948BA">
        <w:rPr>
          <w:szCs w:val="22"/>
        </w:rPr>
        <w:t xml:space="preserve"> be assessed in the Land revenue category will be addressed </w:t>
      </w:r>
      <w:r>
        <w:rPr>
          <w:szCs w:val="22"/>
        </w:rPr>
        <w:t>by that</w:t>
      </w:r>
      <w:r w:rsidRPr="00B948BA">
        <w:rPr>
          <w:szCs w:val="22"/>
        </w:rPr>
        <w:t xml:space="preserve"> consultancy.</w:t>
      </w:r>
    </w:p>
    <w:p w:rsidR="0032262B" w:rsidRDefault="0032262B" w:rsidP="0032262B">
      <w:pPr>
        <w:pStyle w:val="CGCNumberedPara"/>
        <w:numPr>
          <w:ilvl w:val="1"/>
          <w:numId w:val="3"/>
        </w:numPr>
      </w:pPr>
      <w:r>
        <w:rPr>
          <w:rStyle w:val="Heading6Char"/>
        </w:rPr>
        <w:t>Discounting the assessment</w:t>
      </w:r>
      <w:r w:rsidRPr="00B7517F">
        <w:rPr>
          <w:rStyle w:val="Heading6Char"/>
        </w:rPr>
        <w:t>.</w:t>
      </w:r>
      <w:r>
        <w:t xml:space="preserve"> The Commission introduced a discount in the Land revenue category in the 2010 Review and retained it for the 2015 Review. The discount reflected its concerns about the reliability of SRO data.</w:t>
      </w:r>
      <w:r>
        <w:rPr>
          <w:rStyle w:val="FootnoteReference"/>
        </w:rPr>
        <w:footnoteReference w:id="16"/>
      </w:r>
    </w:p>
    <w:p w:rsidR="0032262B" w:rsidRDefault="0032262B" w:rsidP="0032262B">
      <w:pPr>
        <w:pStyle w:val="CGCNumberedPara"/>
        <w:numPr>
          <w:ilvl w:val="1"/>
          <w:numId w:val="3"/>
        </w:numPr>
      </w:pPr>
      <w:r>
        <w:t>The question whether a discount will be assessed in the 2020 Review will be addressed once the assessment method has been settled.</w:t>
      </w:r>
    </w:p>
    <w:p w:rsidR="0032262B" w:rsidRDefault="0032262B" w:rsidP="0032262B"/>
    <w:tbl>
      <w:tblPr>
        <w:tblW w:w="0" w:type="auto"/>
        <w:tblInd w:w="108" w:type="dxa"/>
        <w:shd w:val="clear" w:color="auto" w:fill="D9F3E6"/>
        <w:tblLook w:val="04A0" w:firstRow="1" w:lastRow="0" w:firstColumn="1" w:lastColumn="0" w:noHBand="0" w:noVBand="1"/>
      </w:tblPr>
      <w:tblGrid>
        <w:gridCol w:w="8931"/>
      </w:tblGrid>
      <w:tr w:rsidR="0032262B" w:rsidRPr="00E674AF" w:rsidTr="0032676A">
        <w:tc>
          <w:tcPr>
            <w:tcW w:w="8931" w:type="dxa"/>
            <w:shd w:val="clear" w:color="auto" w:fill="D9F3E6"/>
          </w:tcPr>
          <w:p w:rsidR="0032262B" w:rsidRPr="00E674AF" w:rsidRDefault="0032262B" w:rsidP="0032676A">
            <w:r w:rsidRPr="00B7517F">
              <w:t>Staff propose to recommend the Commission</w:t>
            </w:r>
            <w:r>
              <w:t xml:space="preserve"> defer consideration of</w:t>
            </w:r>
            <w:r w:rsidRPr="00B7517F">
              <w:t>:</w:t>
            </w:r>
          </w:p>
          <w:p w:rsidR="0032262B" w:rsidRPr="00E674AF" w:rsidRDefault="0032262B" w:rsidP="0032676A">
            <w:pPr>
              <w:pStyle w:val="CGCBulletlist"/>
              <w:numPr>
                <w:ilvl w:val="0"/>
                <w:numId w:val="1"/>
              </w:numPr>
              <w:tabs>
                <w:tab w:val="clear" w:pos="927"/>
                <w:tab w:val="clear" w:pos="1134"/>
              </w:tabs>
              <w:ind w:left="1134" w:hanging="567"/>
            </w:pPr>
            <w:r>
              <w:t>an elasticity adjustment until it has considered the consultant’s report on elasticities</w:t>
            </w:r>
          </w:p>
          <w:p w:rsidR="0032262B" w:rsidRPr="00E674AF" w:rsidRDefault="0032262B" w:rsidP="0032676A">
            <w:pPr>
              <w:pStyle w:val="CGCBulletlist"/>
              <w:numPr>
                <w:ilvl w:val="0"/>
                <w:numId w:val="1"/>
              </w:numPr>
              <w:tabs>
                <w:tab w:val="clear" w:pos="927"/>
                <w:tab w:val="clear" w:pos="1134"/>
              </w:tabs>
              <w:ind w:left="1134" w:hanging="567"/>
            </w:pPr>
            <w:r>
              <w:t>a discount until the assessment method is settled.</w:t>
            </w:r>
          </w:p>
        </w:tc>
      </w:tr>
    </w:tbl>
    <w:p w:rsidR="0032262B" w:rsidRDefault="0032262B" w:rsidP="0032262B">
      <w:pPr>
        <w:pStyle w:val="CGCNumberedPara"/>
        <w:numPr>
          <w:ilvl w:val="0"/>
          <w:numId w:val="0"/>
        </w:numPr>
        <w:ind w:left="567" w:hanging="567"/>
      </w:pPr>
    </w:p>
    <w:p w:rsidR="0032262B" w:rsidRDefault="0032262B" w:rsidP="002F01D2">
      <w:pPr>
        <w:pStyle w:val="Heading3"/>
      </w:pPr>
      <w:bookmarkStart w:id="27" w:name="_Toc511824725"/>
      <w:r>
        <w:t>Conclusion and way forward</w:t>
      </w:r>
      <w:bookmarkEnd w:id="27"/>
    </w:p>
    <w:p w:rsidR="0032262B" w:rsidRDefault="0032262B" w:rsidP="002F01D2">
      <w:pPr>
        <w:pStyle w:val="Heading4"/>
      </w:pPr>
      <w:bookmarkStart w:id="28" w:name="_Toc511824726"/>
      <w:r>
        <w:t>Proposed assessment structure</w:t>
      </w:r>
      <w:bookmarkEnd w:id="28"/>
    </w:p>
    <w:p w:rsidR="0032262B" w:rsidRDefault="0032262B" w:rsidP="0032262B">
      <w:pPr>
        <w:pStyle w:val="CGCNumberedPara"/>
        <w:numPr>
          <w:ilvl w:val="1"/>
          <w:numId w:val="3"/>
        </w:numPr>
      </w:pPr>
      <w:r>
        <w:t xml:space="preserve">Staff propose the following assessment structure for this category in the 2020 Review. </w:t>
      </w:r>
    </w:p>
    <w:p w:rsidR="0032262B" w:rsidRDefault="0032262B" w:rsidP="0032262B">
      <w:pPr>
        <w:pStyle w:val="CGCTableHeading"/>
      </w:pPr>
      <w:r>
        <w:t xml:space="preserve">Table </w:t>
      </w:r>
      <w:fldSimple w:instr=" SEQ Table \* ARABIC ">
        <w:r w:rsidR="002839F7">
          <w:rPr>
            <w:noProof/>
          </w:rPr>
          <w:t>8</w:t>
        </w:r>
      </w:fldSimple>
      <w:r>
        <w:tab/>
      </w:r>
      <w:r w:rsidRPr="00B7517F">
        <w:t xml:space="preserve">Proposed </w:t>
      </w:r>
      <w:r>
        <w:t>Land revenue</w:t>
      </w:r>
      <w:r w:rsidRPr="00B7517F">
        <w:t xml:space="preserve"> category structure</w:t>
      </w:r>
    </w:p>
    <w:tbl>
      <w:tblPr>
        <w:tblW w:w="5000" w:type="pct"/>
        <w:tblCellMar>
          <w:left w:w="85" w:type="dxa"/>
          <w:right w:w="85" w:type="dxa"/>
        </w:tblCellMar>
        <w:tblLook w:val="0000" w:firstRow="0" w:lastRow="0" w:firstColumn="0" w:lastColumn="0" w:noHBand="0" w:noVBand="0"/>
      </w:tblPr>
      <w:tblGrid>
        <w:gridCol w:w="1361"/>
        <w:gridCol w:w="1842"/>
        <w:gridCol w:w="5918"/>
      </w:tblGrid>
      <w:tr w:rsidR="0032262B" w:rsidRPr="004537EA" w:rsidTr="0032676A">
        <w:tc>
          <w:tcPr>
            <w:tcW w:w="746"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sidRPr="00134594">
              <w:rPr>
                <w:rFonts w:cstheme="minorHAnsi"/>
              </w:rPr>
              <w:t>Component</w:t>
            </w:r>
          </w:p>
        </w:tc>
        <w:tc>
          <w:tcPr>
            <w:tcW w:w="1010"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sidRPr="00134594">
              <w:rPr>
                <w:rFonts w:cstheme="minorHAnsi"/>
              </w:rPr>
              <w:t>Disability</w:t>
            </w:r>
          </w:p>
        </w:tc>
        <w:tc>
          <w:tcPr>
            <w:tcW w:w="3244"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sidRPr="00134594">
              <w:rPr>
                <w:rFonts w:cstheme="minorHAnsi"/>
              </w:rPr>
              <w:t>Influence measured by disability</w:t>
            </w:r>
          </w:p>
        </w:tc>
      </w:tr>
      <w:tr w:rsidR="0032262B" w:rsidRPr="009A1E15" w:rsidTr="0032676A">
        <w:tc>
          <w:tcPr>
            <w:tcW w:w="746" w:type="pct"/>
            <w:vAlign w:val="bottom"/>
          </w:tcPr>
          <w:p w:rsidR="0032262B" w:rsidRPr="009A1E15" w:rsidRDefault="0032262B" w:rsidP="0032676A">
            <w:pPr>
              <w:pStyle w:val="TableRowNormal"/>
              <w:jc w:val="left"/>
              <w:rPr>
                <w:rFonts w:ascii="Calibri" w:eastAsia="Times New Roman" w:hAnsi="Calibri" w:cs="Times New Roman"/>
                <w:color w:val="000000"/>
                <w:lang w:eastAsia="en-AU"/>
              </w:rPr>
            </w:pPr>
            <w:r w:rsidRPr="009A1E15">
              <w:rPr>
                <w:rFonts w:ascii="Calibri" w:eastAsia="Times New Roman" w:hAnsi="Calibri" w:cs="Times New Roman"/>
                <w:color w:val="000000"/>
                <w:lang w:eastAsia="en-AU"/>
              </w:rPr>
              <w:t>Land tax</w:t>
            </w:r>
            <w:r>
              <w:rPr>
                <w:rFonts w:ascii="Calibri" w:eastAsia="Times New Roman" w:hAnsi="Calibri" w:cs="Times New Roman"/>
                <w:color w:val="000000"/>
                <w:lang w:eastAsia="en-AU"/>
              </w:rPr>
              <w:br/>
            </w:r>
          </w:p>
        </w:tc>
        <w:tc>
          <w:tcPr>
            <w:tcW w:w="1010" w:type="pct"/>
            <w:vAlign w:val="bottom"/>
          </w:tcPr>
          <w:p w:rsidR="0032262B" w:rsidRPr="009A1E15" w:rsidRDefault="0032262B" w:rsidP="0032676A">
            <w:pPr>
              <w:pStyle w:val="TableRowNormal"/>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Value of taxable land</w:t>
            </w:r>
          </w:p>
        </w:tc>
        <w:tc>
          <w:tcPr>
            <w:tcW w:w="3244" w:type="pct"/>
            <w:vAlign w:val="bottom"/>
          </w:tcPr>
          <w:p w:rsidR="0032262B" w:rsidRPr="009A1E15" w:rsidRDefault="0032262B" w:rsidP="0032676A">
            <w:pPr>
              <w:pStyle w:val="TableRowNormal"/>
              <w:jc w:val="left"/>
              <w:rPr>
                <w:rFonts w:ascii="Calibri" w:eastAsia="Times New Roman" w:hAnsi="Calibri" w:cs="Times New Roman"/>
                <w:color w:val="000000"/>
                <w:lang w:eastAsia="en-AU"/>
              </w:rPr>
            </w:pPr>
            <w:r w:rsidRPr="009A1E15">
              <w:rPr>
                <w:rFonts w:ascii="Calibri" w:eastAsia="Times New Roman" w:hAnsi="Calibri" w:cs="Times New Roman"/>
                <w:color w:val="000000"/>
                <w:lang w:eastAsia="en-AU"/>
              </w:rPr>
              <w:t xml:space="preserve">Recognises the additional revenue capacity of States with a greater total taxable value of </w:t>
            </w:r>
            <w:r>
              <w:rPr>
                <w:rFonts w:ascii="Calibri" w:eastAsia="Times New Roman" w:hAnsi="Calibri" w:cs="Times New Roman"/>
                <w:color w:val="000000"/>
                <w:lang w:eastAsia="en-AU"/>
              </w:rPr>
              <w:t>land. (a)</w:t>
            </w:r>
          </w:p>
        </w:tc>
      </w:tr>
      <w:tr w:rsidR="0032262B" w:rsidRPr="004537EA" w:rsidTr="0032676A">
        <w:tc>
          <w:tcPr>
            <w:tcW w:w="746" w:type="pct"/>
            <w:tcBorders>
              <w:bottom w:val="single" w:sz="4" w:space="0" w:color="auto"/>
            </w:tcBorders>
            <w:vAlign w:val="bottom"/>
          </w:tcPr>
          <w:p w:rsidR="0032262B" w:rsidRPr="004537EA" w:rsidRDefault="0032262B" w:rsidP="0032676A">
            <w:pPr>
              <w:pStyle w:val="CGCTableStub"/>
              <w:rPr>
                <w:rFonts w:cstheme="minorHAnsi"/>
              </w:rPr>
            </w:pPr>
          </w:p>
        </w:tc>
        <w:tc>
          <w:tcPr>
            <w:tcW w:w="1010" w:type="pct"/>
            <w:tcBorders>
              <w:bottom w:val="single" w:sz="4" w:space="0" w:color="auto"/>
            </w:tcBorders>
            <w:vAlign w:val="bottom"/>
          </w:tcPr>
          <w:p w:rsidR="0032262B" w:rsidRPr="004537EA" w:rsidRDefault="0032262B" w:rsidP="0032676A">
            <w:pPr>
              <w:pStyle w:val="TableRowNormal"/>
              <w:jc w:val="left"/>
              <w:rPr>
                <w:rFonts w:cstheme="minorHAnsi"/>
              </w:rPr>
            </w:pPr>
            <w:r>
              <w:rPr>
                <w:rFonts w:ascii="Calibri" w:eastAsia="Times New Roman" w:hAnsi="Calibri" w:cs="Times New Roman"/>
                <w:color w:val="000000"/>
                <w:lang w:eastAsia="en-AU"/>
              </w:rPr>
              <w:t>Progressive rates of duty</w:t>
            </w:r>
          </w:p>
        </w:tc>
        <w:tc>
          <w:tcPr>
            <w:tcW w:w="3244" w:type="pct"/>
            <w:tcBorders>
              <w:bottom w:val="single" w:sz="4" w:space="0" w:color="auto"/>
            </w:tcBorders>
            <w:vAlign w:val="bottom"/>
          </w:tcPr>
          <w:p w:rsidR="0032262B" w:rsidRPr="004537EA" w:rsidRDefault="0032262B" w:rsidP="0032676A">
            <w:pPr>
              <w:pStyle w:val="TableRowNormal"/>
              <w:jc w:val="left"/>
              <w:rPr>
                <w:rFonts w:cstheme="minorHAnsi"/>
              </w:rPr>
            </w:pPr>
            <w:r w:rsidRPr="00A66AD0">
              <w:rPr>
                <w:rFonts w:ascii="Calibri" w:eastAsia="Times New Roman" w:hAnsi="Calibri" w:cs="Times New Roman"/>
                <w:lang w:eastAsia="en-AU"/>
              </w:rPr>
              <w:t>Recognises the additional revenue capacity of States with proportionally more properties in higher value ranges</w:t>
            </w:r>
            <w:r>
              <w:rPr>
                <w:rFonts w:ascii="Calibri" w:eastAsia="Times New Roman" w:hAnsi="Calibri" w:cs="Times New Roman"/>
                <w:lang w:eastAsia="en-AU"/>
              </w:rPr>
              <w:t>.</w:t>
            </w:r>
          </w:p>
        </w:tc>
      </w:tr>
      <w:tr w:rsidR="0032262B" w:rsidRPr="009A1E15" w:rsidTr="0032676A">
        <w:tc>
          <w:tcPr>
            <w:tcW w:w="746" w:type="pct"/>
            <w:tcBorders>
              <w:bottom w:val="single" w:sz="6" w:space="0" w:color="auto"/>
            </w:tcBorders>
            <w:vAlign w:val="bottom"/>
          </w:tcPr>
          <w:p w:rsidR="0032262B" w:rsidRPr="009A1E15" w:rsidRDefault="0032262B" w:rsidP="0032676A">
            <w:pPr>
              <w:pStyle w:val="TableRowNormal"/>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Other land based taxes</w:t>
            </w:r>
          </w:p>
        </w:tc>
        <w:tc>
          <w:tcPr>
            <w:tcW w:w="1010" w:type="pct"/>
            <w:tcBorders>
              <w:bottom w:val="single" w:sz="6" w:space="0" w:color="auto"/>
            </w:tcBorders>
            <w:vAlign w:val="bottom"/>
          </w:tcPr>
          <w:p w:rsidR="0032262B" w:rsidRPr="00B57879" w:rsidRDefault="0032262B" w:rsidP="0032676A">
            <w:pPr>
              <w:pStyle w:val="TableRowNormal"/>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Value of land</w:t>
            </w:r>
          </w:p>
        </w:tc>
        <w:tc>
          <w:tcPr>
            <w:tcW w:w="3244" w:type="pct"/>
            <w:tcBorders>
              <w:bottom w:val="single" w:sz="6" w:space="0" w:color="auto"/>
            </w:tcBorders>
            <w:vAlign w:val="bottom"/>
          </w:tcPr>
          <w:p w:rsidR="0032262B" w:rsidRPr="00B57879" w:rsidRDefault="0032262B" w:rsidP="00E0681C">
            <w:pPr>
              <w:pStyle w:val="TableRowNormal"/>
              <w:jc w:val="left"/>
              <w:rPr>
                <w:rFonts w:ascii="Calibri" w:eastAsia="Times New Roman" w:hAnsi="Calibri" w:cs="Times New Roman"/>
                <w:color w:val="000000"/>
                <w:lang w:eastAsia="en-AU"/>
              </w:rPr>
            </w:pPr>
            <w:r w:rsidRPr="00B57879">
              <w:rPr>
                <w:rFonts w:ascii="Calibri" w:eastAsia="Times New Roman" w:hAnsi="Calibri" w:cs="Times New Roman"/>
                <w:color w:val="000000"/>
                <w:lang w:eastAsia="en-AU"/>
              </w:rPr>
              <w:t>Recognises the additional revenue capacity of States with a greater number of properties and greater land value</w:t>
            </w:r>
          </w:p>
        </w:tc>
      </w:tr>
    </w:tbl>
    <w:p w:rsidR="0032262B" w:rsidRDefault="0032262B" w:rsidP="0032262B">
      <w:pPr>
        <w:pStyle w:val="CGCTableFootnote"/>
      </w:pPr>
      <w:r>
        <w:t>(a)</w:t>
      </w:r>
      <w:r>
        <w:tab/>
        <w:t>Depending on the source of land value data, the total taxable value of land may be aggregated by land owner.</w:t>
      </w:r>
    </w:p>
    <w:p w:rsidR="0032262B" w:rsidRDefault="0032262B" w:rsidP="0032262B">
      <w:pPr>
        <w:pStyle w:val="CGCNumberedPara"/>
        <w:numPr>
          <w:ilvl w:val="0"/>
          <w:numId w:val="0"/>
        </w:numPr>
        <w:ind w:left="567" w:hanging="567"/>
      </w:pPr>
    </w:p>
    <w:p w:rsidR="0032262B" w:rsidRDefault="0032262B" w:rsidP="0032262B">
      <w:pPr>
        <w:pStyle w:val="CGCNumberedPara"/>
        <w:numPr>
          <w:ilvl w:val="0"/>
          <w:numId w:val="0"/>
        </w:numPr>
        <w:ind w:left="567" w:hanging="567"/>
      </w:pPr>
    </w:p>
    <w:p w:rsidR="0032262B" w:rsidRDefault="0032262B" w:rsidP="0032262B">
      <w:pPr>
        <w:pStyle w:val="CGCNumberedPara"/>
        <w:numPr>
          <w:ilvl w:val="0"/>
          <w:numId w:val="0"/>
        </w:numPr>
        <w:ind w:left="567" w:hanging="567"/>
        <w:sectPr w:rsidR="0032262B" w:rsidSect="0032676A">
          <w:footerReference w:type="first" r:id="rId17"/>
          <w:pgSz w:w="11899" w:h="16838" w:code="9"/>
          <w:pgMar w:top="1701" w:right="1474" w:bottom="1701" w:left="1474" w:header="709" w:footer="709" w:gutter="0"/>
          <w:pgNumType w:start="1"/>
          <w:cols w:space="708"/>
          <w:titlePg/>
          <w:docGrid w:linePitch="299"/>
        </w:sectPr>
      </w:pPr>
    </w:p>
    <w:p w:rsidR="0032262B" w:rsidRDefault="0032262B" w:rsidP="0032262B">
      <w:pPr>
        <w:pStyle w:val="Heading2"/>
      </w:pPr>
      <w:bookmarkStart w:id="29" w:name="_Toc511824727"/>
      <w:r>
        <w:t>Attachment A: State land based taxes</w:t>
      </w:r>
      <w:bookmarkEnd w:id="29"/>
    </w:p>
    <w:p w:rsidR="0032262B" w:rsidRDefault="0032262B" w:rsidP="0032262B">
      <w:pPr>
        <w:pStyle w:val="CGCNumberedPara"/>
        <w:numPr>
          <w:ilvl w:val="1"/>
          <w:numId w:val="41"/>
        </w:numPr>
      </w:pPr>
      <w:r w:rsidRPr="00071B5C">
        <w:t>This attachment sets out the land based taxes imposed by States.</w:t>
      </w:r>
    </w:p>
    <w:p w:rsidR="0032262B" w:rsidRDefault="0032262B" w:rsidP="0032262B">
      <w:pPr>
        <w:pStyle w:val="CGCTableHeading"/>
      </w:pPr>
      <w:r>
        <w:t>Table A-</w:t>
      </w:r>
      <w:fldSimple w:instr=" SEQ Table \r 1\* ARABIC ">
        <w:r w:rsidR="002839F7">
          <w:rPr>
            <w:noProof/>
          </w:rPr>
          <w:t>1</w:t>
        </w:r>
      </w:fldSimple>
      <w:r>
        <w:tab/>
        <w:t>Land based taxes, New South Wales, 2017-18</w:t>
      </w:r>
    </w:p>
    <w:tbl>
      <w:tblPr>
        <w:tblW w:w="5000" w:type="pct"/>
        <w:tblCellMar>
          <w:left w:w="85" w:type="dxa"/>
          <w:right w:w="85" w:type="dxa"/>
        </w:tblCellMar>
        <w:tblLook w:val="0000" w:firstRow="0" w:lastRow="0" w:firstColumn="0" w:lastColumn="0" w:noHBand="0" w:noVBand="0"/>
      </w:tblPr>
      <w:tblGrid>
        <w:gridCol w:w="2070"/>
        <w:gridCol w:w="6095"/>
        <w:gridCol w:w="956"/>
      </w:tblGrid>
      <w:tr w:rsidR="0032262B" w:rsidRPr="004537EA" w:rsidTr="0032676A">
        <w:tc>
          <w:tcPr>
            <w:tcW w:w="1135"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Taxes on land</w:t>
            </w:r>
          </w:p>
        </w:tc>
        <w:tc>
          <w:tcPr>
            <w:tcW w:w="3341"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Basis of collection</w:t>
            </w:r>
          </w:p>
        </w:tc>
        <w:tc>
          <w:tcPr>
            <w:tcW w:w="524" w:type="pct"/>
            <w:tcBorders>
              <w:top w:val="single" w:sz="6" w:space="0" w:color="auto"/>
              <w:bottom w:val="single" w:sz="6" w:space="0" w:color="auto"/>
            </w:tcBorders>
            <w:vAlign w:val="bottom"/>
          </w:tcPr>
          <w:p w:rsidR="0032262B" w:rsidRPr="004537EA" w:rsidRDefault="0032262B" w:rsidP="0032676A">
            <w:pPr>
              <w:pStyle w:val="TableColHeadings"/>
              <w:rPr>
                <w:rFonts w:cstheme="minorHAnsi"/>
              </w:rPr>
            </w:pPr>
            <w:r>
              <w:rPr>
                <w:rFonts w:cstheme="minorHAnsi"/>
              </w:rPr>
              <w:t>Amount</w:t>
            </w:r>
          </w:p>
        </w:tc>
      </w:tr>
      <w:tr w:rsidR="0032262B" w:rsidRPr="004537EA" w:rsidTr="0032676A">
        <w:tc>
          <w:tcPr>
            <w:tcW w:w="1135" w:type="pct"/>
            <w:tcMar>
              <w:top w:w="0" w:type="dxa"/>
              <w:bottom w:w="0" w:type="dxa"/>
            </w:tcMar>
            <w:vAlign w:val="bottom"/>
          </w:tcPr>
          <w:p w:rsidR="0032262B" w:rsidRPr="004537EA" w:rsidRDefault="0032262B" w:rsidP="0032676A">
            <w:pPr>
              <w:pStyle w:val="TableRowUnits"/>
              <w:rPr>
                <w:rFonts w:cstheme="minorHAnsi"/>
              </w:rPr>
            </w:pPr>
          </w:p>
        </w:tc>
        <w:tc>
          <w:tcPr>
            <w:tcW w:w="3341" w:type="pct"/>
            <w:tcMar>
              <w:top w:w="0" w:type="dxa"/>
              <w:bottom w:w="0" w:type="dxa"/>
            </w:tcMar>
            <w:vAlign w:val="bottom"/>
          </w:tcPr>
          <w:p w:rsidR="0032262B" w:rsidRPr="004537EA" w:rsidRDefault="0032262B" w:rsidP="0032676A">
            <w:pPr>
              <w:pStyle w:val="TableRowUnits"/>
              <w:rPr>
                <w:rFonts w:cstheme="minorHAnsi"/>
              </w:rPr>
            </w:pPr>
          </w:p>
        </w:tc>
        <w:tc>
          <w:tcPr>
            <w:tcW w:w="524" w:type="pct"/>
            <w:tcMar>
              <w:top w:w="0" w:type="dxa"/>
              <w:bottom w:w="0" w:type="dxa"/>
            </w:tcMar>
            <w:vAlign w:val="bottom"/>
          </w:tcPr>
          <w:p w:rsidR="0032262B" w:rsidRPr="004537EA" w:rsidRDefault="0032262B" w:rsidP="0032676A">
            <w:pPr>
              <w:pStyle w:val="TableRowUnits"/>
              <w:rPr>
                <w:rFonts w:cstheme="minorHAnsi"/>
              </w:rPr>
            </w:pPr>
            <w:r>
              <w:rPr>
                <w:rFonts w:cstheme="minorHAnsi"/>
              </w:rPr>
              <w:t>$m</w:t>
            </w:r>
          </w:p>
        </w:tc>
      </w:tr>
      <w:tr w:rsidR="0032262B" w:rsidRPr="004537EA" w:rsidTr="0032676A">
        <w:tc>
          <w:tcPr>
            <w:tcW w:w="1135" w:type="pct"/>
          </w:tcPr>
          <w:p w:rsidR="0032262B" w:rsidRPr="004537EA" w:rsidRDefault="0032262B" w:rsidP="0032676A">
            <w:pPr>
              <w:pStyle w:val="TableRowNormal"/>
              <w:ind w:left="0" w:firstLine="0"/>
              <w:jc w:val="left"/>
              <w:rPr>
                <w:rFonts w:cstheme="minorHAnsi"/>
              </w:rPr>
            </w:pPr>
            <w:r>
              <w:rPr>
                <w:rFonts w:ascii="Calibri" w:eastAsia="Times New Roman" w:hAnsi="Calibri" w:cs="Times New Roman"/>
                <w:color w:val="000000"/>
                <w:lang w:eastAsia="en-AU"/>
              </w:rPr>
              <w:t>Land tax</w:t>
            </w:r>
          </w:p>
        </w:tc>
        <w:tc>
          <w:tcPr>
            <w:tcW w:w="3341" w:type="pct"/>
          </w:tcPr>
          <w:p w:rsidR="0032262B" w:rsidRPr="004537EA" w:rsidRDefault="0032262B" w:rsidP="0032676A">
            <w:pPr>
              <w:pStyle w:val="TableRowNormal"/>
              <w:ind w:left="0" w:firstLine="0"/>
              <w:jc w:val="left"/>
              <w:rPr>
                <w:rFonts w:cstheme="minorHAnsi"/>
              </w:rPr>
            </w:pPr>
            <w:r>
              <w:rPr>
                <w:rFonts w:ascii="Calibri" w:eastAsia="Times New Roman" w:hAnsi="Calibri" w:cs="Times New Roman"/>
                <w:lang w:eastAsia="en-AU"/>
              </w:rPr>
              <w:t>Aggregated value of each land owner’s taxable land holdings.</w:t>
            </w:r>
          </w:p>
        </w:tc>
        <w:tc>
          <w:tcPr>
            <w:tcW w:w="524" w:type="pct"/>
          </w:tcPr>
          <w:p w:rsidR="0032262B" w:rsidRPr="004537EA" w:rsidRDefault="0032262B" w:rsidP="0032676A">
            <w:pPr>
              <w:pStyle w:val="CGCTableStub"/>
              <w:jc w:val="right"/>
              <w:rPr>
                <w:rFonts w:cstheme="minorHAnsi"/>
              </w:rPr>
            </w:pPr>
            <w:r>
              <w:rPr>
                <w:rFonts w:cstheme="minorHAnsi"/>
              </w:rPr>
              <w:t>3 685</w:t>
            </w:r>
          </w:p>
        </w:tc>
      </w:tr>
      <w:tr w:rsidR="0032262B" w:rsidRPr="004537EA" w:rsidTr="0032676A">
        <w:tc>
          <w:tcPr>
            <w:tcW w:w="1135" w:type="pct"/>
            <w:tcBorders>
              <w:bottom w:val="single" w:sz="6" w:space="0" w:color="auto"/>
            </w:tcBorders>
          </w:tcPr>
          <w:p w:rsidR="0032262B" w:rsidRDefault="0032262B" w:rsidP="0032676A">
            <w:pPr>
              <w:pStyle w:val="CGCTableStub"/>
              <w:rPr>
                <w:rFonts w:cstheme="minorHAnsi"/>
              </w:rPr>
            </w:pPr>
            <w:r>
              <w:rPr>
                <w:rFonts w:cstheme="minorHAnsi"/>
              </w:rPr>
              <w:t>Parking space levy</w:t>
            </w:r>
          </w:p>
        </w:tc>
        <w:tc>
          <w:tcPr>
            <w:tcW w:w="3341" w:type="pct"/>
            <w:tcBorders>
              <w:bottom w:val="single" w:sz="6" w:space="0" w:color="auto"/>
            </w:tcBorders>
          </w:tcPr>
          <w:p w:rsidR="0032262B" w:rsidRPr="004537EA" w:rsidRDefault="0032262B" w:rsidP="0032676A">
            <w:pPr>
              <w:pStyle w:val="CGCTableStub"/>
              <w:rPr>
                <w:rFonts w:cstheme="minorHAnsi"/>
              </w:rPr>
            </w:pPr>
            <w:r>
              <w:t>The levy is charged on parking spaces within a leviable district. It applies to residential and non-residential off-street parki</w:t>
            </w:r>
            <w:r w:rsidR="00E0681C">
              <w:t xml:space="preserve">ng space used or reserved for </w:t>
            </w:r>
            <w:r>
              <w:t>motor vehicle</w:t>
            </w:r>
            <w:r w:rsidR="00E0681C">
              <w:t>s</w:t>
            </w:r>
            <w:r>
              <w:t>.</w:t>
            </w:r>
          </w:p>
        </w:tc>
        <w:tc>
          <w:tcPr>
            <w:tcW w:w="524" w:type="pct"/>
            <w:tcBorders>
              <w:bottom w:val="single" w:sz="6" w:space="0" w:color="auto"/>
            </w:tcBorders>
          </w:tcPr>
          <w:p w:rsidR="0032262B" w:rsidRDefault="0032262B" w:rsidP="0032676A">
            <w:pPr>
              <w:pStyle w:val="CGCTableStub"/>
              <w:jc w:val="right"/>
              <w:rPr>
                <w:rFonts w:cstheme="minorHAnsi"/>
              </w:rPr>
            </w:pPr>
            <w:r>
              <w:rPr>
                <w:rFonts w:cstheme="minorHAnsi"/>
              </w:rPr>
              <w:t>106</w:t>
            </w:r>
          </w:p>
        </w:tc>
      </w:tr>
    </w:tbl>
    <w:p w:rsidR="0032262B" w:rsidRDefault="0032262B" w:rsidP="0032262B">
      <w:pPr>
        <w:pStyle w:val="CGCTableFootnote"/>
      </w:pPr>
      <w:r>
        <w:t>Source:</w:t>
      </w:r>
      <w:r>
        <w:tab/>
        <w:t>Budget Statement, Budget Paper No 1, 2017-18, Table 5.4, page 5-7.</w:t>
      </w:r>
    </w:p>
    <w:p w:rsidR="0032262B" w:rsidRDefault="0032262B" w:rsidP="0032262B">
      <w:pPr>
        <w:pStyle w:val="CGCTableHeading"/>
      </w:pPr>
      <w:r>
        <w:t>Table A-</w:t>
      </w:r>
      <w:fldSimple w:instr=" SEQ Table \* ARABIC ">
        <w:r w:rsidR="002839F7">
          <w:rPr>
            <w:noProof/>
          </w:rPr>
          <w:t>2</w:t>
        </w:r>
      </w:fldSimple>
      <w:r>
        <w:tab/>
        <w:t>Land based taxes, Victoria, 2017-18</w:t>
      </w:r>
    </w:p>
    <w:tbl>
      <w:tblPr>
        <w:tblW w:w="5000" w:type="pct"/>
        <w:tblCellMar>
          <w:left w:w="85" w:type="dxa"/>
          <w:right w:w="85" w:type="dxa"/>
        </w:tblCellMar>
        <w:tblLook w:val="0000" w:firstRow="0" w:lastRow="0" w:firstColumn="0" w:lastColumn="0" w:noHBand="0" w:noVBand="0"/>
      </w:tblPr>
      <w:tblGrid>
        <w:gridCol w:w="2070"/>
        <w:gridCol w:w="6095"/>
        <w:gridCol w:w="956"/>
      </w:tblGrid>
      <w:tr w:rsidR="0032262B" w:rsidRPr="004537EA" w:rsidTr="0032676A">
        <w:tc>
          <w:tcPr>
            <w:tcW w:w="1135"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Taxes on land</w:t>
            </w:r>
          </w:p>
        </w:tc>
        <w:tc>
          <w:tcPr>
            <w:tcW w:w="3341"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Basis of collection</w:t>
            </w:r>
          </w:p>
        </w:tc>
        <w:tc>
          <w:tcPr>
            <w:tcW w:w="524" w:type="pct"/>
            <w:tcBorders>
              <w:top w:val="single" w:sz="6" w:space="0" w:color="auto"/>
              <w:bottom w:val="single" w:sz="6" w:space="0" w:color="auto"/>
            </w:tcBorders>
            <w:vAlign w:val="bottom"/>
          </w:tcPr>
          <w:p w:rsidR="0032262B" w:rsidRPr="004537EA" w:rsidRDefault="0032262B" w:rsidP="0032676A">
            <w:pPr>
              <w:pStyle w:val="TableColHeadings"/>
              <w:rPr>
                <w:rFonts w:cstheme="minorHAnsi"/>
              </w:rPr>
            </w:pPr>
            <w:r>
              <w:rPr>
                <w:rFonts w:cstheme="minorHAnsi"/>
              </w:rPr>
              <w:t>Amount</w:t>
            </w:r>
          </w:p>
        </w:tc>
      </w:tr>
      <w:tr w:rsidR="0032262B" w:rsidRPr="004537EA" w:rsidTr="0032676A">
        <w:tc>
          <w:tcPr>
            <w:tcW w:w="1135" w:type="pct"/>
            <w:tcMar>
              <w:top w:w="0" w:type="dxa"/>
              <w:bottom w:w="0" w:type="dxa"/>
            </w:tcMar>
            <w:vAlign w:val="bottom"/>
          </w:tcPr>
          <w:p w:rsidR="0032262B" w:rsidRPr="004537EA" w:rsidRDefault="0032262B" w:rsidP="0032676A">
            <w:pPr>
              <w:pStyle w:val="TableRowUnits"/>
              <w:rPr>
                <w:rFonts w:cstheme="minorHAnsi"/>
              </w:rPr>
            </w:pPr>
          </w:p>
        </w:tc>
        <w:tc>
          <w:tcPr>
            <w:tcW w:w="3341" w:type="pct"/>
            <w:tcMar>
              <w:top w:w="0" w:type="dxa"/>
              <w:bottom w:w="0" w:type="dxa"/>
            </w:tcMar>
            <w:vAlign w:val="bottom"/>
          </w:tcPr>
          <w:p w:rsidR="0032262B" w:rsidRPr="004537EA" w:rsidRDefault="0032262B" w:rsidP="0032676A">
            <w:pPr>
              <w:pStyle w:val="TableRowUnits"/>
              <w:rPr>
                <w:rFonts w:cstheme="minorHAnsi"/>
              </w:rPr>
            </w:pPr>
          </w:p>
        </w:tc>
        <w:tc>
          <w:tcPr>
            <w:tcW w:w="524" w:type="pct"/>
            <w:tcMar>
              <w:top w:w="0" w:type="dxa"/>
              <w:bottom w:w="0" w:type="dxa"/>
            </w:tcMar>
            <w:vAlign w:val="bottom"/>
          </w:tcPr>
          <w:p w:rsidR="0032262B" w:rsidRPr="004537EA" w:rsidRDefault="0032262B" w:rsidP="0032676A">
            <w:pPr>
              <w:pStyle w:val="TableRowUnits"/>
              <w:rPr>
                <w:rFonts w:cstheme="minorHAnsi"/>
              </w:rPr>
            </w:pPr>
            <w:r>
              <w:rPr>
                <w:rFonts w:cstheme="minorHAnsi"/>
              </w:rPr>
              <w:t>$m</w:t>
            </w:r>
          </w:p>
        </w:tc>
      </w:tr>
      <w:tr w:rsidR="0032262B" w:rsidRPr="004537EA" w:rsidTr="0032676A">
        <w:tc>
          <w:tcPr>
            <w:tcW w:w="1135" w:type="pct"/>
          </w:tcPr>
          <w:p w:rsidR="0032262B" w:rsidRDefault="0032262B" w:rsidP="0032676A">
            <w:pPr>
              <w:pStyle w:val="TableRowNormal"/>
              <w:ind w:left="0" w:firstLine="0"/>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Land tax</w:t>
            </w:r>
          </w:p>
        </w:tc>
        <w:tc>
          <w:tcPr>
            <w:tcW w:w="3341" w:type="pct"/>
          </w:tcPr>
          <w:p w:rsidR="0032262B" w:rsidRDefault="0032262B" w:rsidP="0032676A">
            <w:pPr>
              <w:pStyle w:val="TableRowNormal"/>
              <w:ind w:left="0" w:firstLine="0"/>
              <w:jc w:val="left"/>
              <w:rPr>
                <w:rFonts w:ascii="Calibri" w:eastAsia="Times New Roman" w:hAnsi="Calibri" w:cs="Times New Roman"/>
                <w:lang w:eastAsia="en-AU"/>
              </w:rPr>
            </w:pPr>
            <w:r>
              <w:rPr>
                <w:rFonts w:ascii="Calibri" w:eastAsia="Times New Roman" w:hAnsi="Calibri" w:cs="Times New Roman"/>
                <w:lang w:eastAsia="en-AU"/>
              </w:rPr>
              <w:t>Aggregated value of each land owner’s taxable land holdings.</w:t>
            </w:r>
          </w:p>
        </w:tc>
        <w:tc>
          <w:tcPr>
            <w:tcW w:w="524" w:type="pct"/>
          </w:tcPr>
          <w:p w:rsidR="0032262B" w:rsidRDefault="0032262B" w:rsidP="0032676A">
            <w:pPr>
              <w:pStyle w:val="CGCTableStub"/>
              <w:jc w:val="right"/>
              <w:rPr>
                <w:rFonts w:cstheme="minorHAnsi"/>
              </w:rPr>
            </w:pPr>
            <w:r>
              <w:rPr>
                <w:rFonts w:cstheme="minorHAnsi"/>
              </w:rPr>
              <w:t>2 366</w:t>
            </w:r>
          </w:p>
        </w:tc>
      </w:tr>
      <w:tr w:rsidR="0032262B" w:rsidRPr="004537EA" w:rsidTr="0032676A">
        <w:tc>
          <w:tcPr>
            <w:tcW w:w="1135" w:type="pct"/>
          </w:tcPr>
          <w:p w:rsidR="0032262B" w:rsidRPr="004537EA" w:rsidRDefault="0032262B" w:rsidP="0032676A">
            <w:pPr>
              <w:pStyle w:val="TableRowNormal"/>
              <w:ind w:left="0" w:firstLine="0"/>
              <w:jc w:val="left"/>
              <w:rPr>
                <w:rFonts w:cstheme="minorHAnsi"/>
              </w:rPr>
            </w:pPr>
            <w:r>
              <w:rPr>
                <w:rFonts w:ascii="Calibri" w:eastAsia="Times New Roman" w:hAnsi="Calibri" w:cs="Times New Roman"/>
                <w:color w:val="000000"/>
                <w:lang w:eastAsia="en-AU"/>
              </w:rPr>
              <w:t>Fire services property levy</w:t>
            </w:r>
          </w:p>
        </w:tc>
        <w:tc>
          <w:tcPr>
            <w:tcW w:w="3341" w:type="pct"/>
          </w:tcPr>
          <w:p w:rsidR="0032262B" w:rsidRPr="004537EA" w:rsidRDefault="0032262B" w:rsidP="0032676A">
            <w:pPr>
              <w:pStyle w:val="TableRowNormal"/>
              <w:ind w:left="0" w:firstLine="0"/>
              <w:jc w:val="left"/>
              <w:rPr>
                <w:rFonts w:cstheme="minorHAnsi"/>
              </w:rPr>
            </w:pPr>
            <w:r>
              <w:rPr>
                <w:rFonts w:ascii="Calibri" w:eastAsia="Times New Roman" w:hAnsi="Calibri" w:cs="Times New Roman"/>
                <w:lang w:eastAsia="en-AU"/>
              </w:rPr>
              <w:t>A property based levy collected with council rates. It comprises a fixed charge and a variable charge based on the capital improved value of the property. Eligible pensioners and veterans receive a $50 concession. The revenue is hypothecated to supporting the State’s fire services.</w:t>
            </w:r>
          </w:p>
        </w:tc>
        <w:tc>
          <w:tcPr>
            <w:tcW w:w="524" w:type="pct"/>
          </w:tcPr>
          <w:p w:rsidR="0032262B" w:rsidRPr="004537EA" w:rsidRDefault="0032262B" w:rsidP="0032676A">
            <w:pPr>
              <w:pStyle w:val="CGCTableStub"/>
              <w:jc w:val="right"/>
              <w:rPr>
                <w:rFonts w:cstheme="minorHAnsi"/>
              </w:rPr>
            </w:pPr>
            <w:r>
              <w:rPr>
                <w:rFonts w:cstheme="minorHAnsi"/>
              </w:rPr>
              <w:t>674</w:t>
            </w:r>
          </w:p>
        </w:tc>
      </w:tr>
      <w:tr w:rsidR="0032262B" w:rsidRPr="004537EA" w:rsidTr="0032676A">
        <w:tc>
          <w:tcPr>
            <w:tcW w:w="1135" w:type="pct"/>
          </w:tcPr>
          <w:p w:rsidR="0032262B" w:rsidRPr="004537EA" w:rsidRDefault="0032262B" w:rsidP="0032676A">
            <w:pPr>
              <w:pStyle w:val="CGCTableStub"/>
              <w:rPr>
                <w:rFonts w:cstheme="minorHAnsi"/>
              </w:rPr>
            </w:pPr>
            <w:r w:rsidRPr="00324F1C">
              <w:rPr>
                <w:rFonts w:cstheme="minorHAnsi"/>
              </w:rPr>
              <w:t>Congestion levy</w:t>
            </w:r>
          </w:p>
        </w:tc>
        <w:tc>
          <w:tcPr>
            <w:tcW w:w="3341" w:type="pct"/>
          </w:tcPr>
          <w:p w:rsidR="0032262B" w:rsidRPr="004537EA" w:rsidRDefault="0032262B" w:rsidP="0032676A">
            <w:pPr>
              <w:pStyle w:val="CGCTableStub"/>
              <w:rPr>
                <w:rFonts w:cstheme="minorHAnsi"/>
              </w:rPr>
            </w:pPr>
            <w:r w:rsidRPr="00324F1C">
              <w:rPr>
                <w:rFonts w:cstheme="minorHAnsi"/>
              </w:rPr>
              <w:t>The levy is charged to off-street parking and public car parking in two specified areas. Exemptions and concessions apply for residential parking</w:t>
            </w:r>
            <w:r>
              <w:rPr>
                <w:rFonts w:cstheme="minorHAnsi"/>
              </w:rPr>
              <w:t xml:space="preserve">, </w:t>
            </w:r>
            <w:r w:rsidRPr="00324F1C">
              <w:rPr>
                <w:rFonts w:cstheme="minorHAnsi"/>
              </w:rPr>
              <w:t>disabled parking and spaces provided free of charge for visitors and patients.</w:t>
            </w:r>
          </w:p>
        </w:tc>
        <w:tc>
          <w:tcPr>
            <w:tcW w:w="524" w:type="pct"/>
          </w:tcPr>
          <w:p w:rsidR="0032262B" w:rsidRPr="004537EA" w:rsidRDefault="0032262B" w:rsidP="0032676A">
            <w:pPr>
              <w:pStyle w:val="CGCTableStub"/>
              <w:jc w:val="right"/>
              <w:rPr>
                <w:rFonts w:cstheme="minorHAnsi"/>
              </w:rPr>
            </w:pPr>
            <w:r>
              <w:rPr>
                <w:rFonts w:cstheme="minorHAnsi"/>
              </w:rPr>
              <w:t>118</w:t>
            </w:r>
          </w:p>
        </w:tc>
      </w:tr>
      <w:tr w:rsidR="0032262B" w:rsidRPr="004537EA" w:rsidTr="0032676A">
        <w:tc>
          <w:tcPr>
            <w:tcW w:w="1135" w:type="pct"/>
          </w:tcPr>
          <w:p w:rsidR="0032262B" w:rsidRPr="004537EA" w:rsidRDefault="0032262B" w:rsidP="0032676A">
            <w:pPr>
              <w:pStyle w:val="CGCTableStub"/>
              <w:rPr>
                <w:rFonts w:cstheme="minorHAnsi"/>
              </w:rPr>
            </w:pPr>
            <w:r>
              <w:rPr>
                <w:rFonts w:cstheme="minorHAnsi"/>
              </w:rPr>
              <w:t>Metropolitan improvement levy</w:t>
            </w:r>
          </w:p>
        </w:tc>
        <w:tc>
          <w:tcPr>
            <w:tcW w:w="3341" w:type="pct"/>
          </w:tcPr>
          <w:p w:rsidR="0032262B" w:rsidRDefault="0032262B" w:rsidP="0032676A">
            <w:pPr>
              <w:pStyle w:val="CGCTableStub"/>
            </w:pPr>
            <w:r>
              <w:t>A charge included on the water, sewerage and drainage bills of residential and commercial properties. It only applies to properties within the area that was administered by the former Melbourne and Metropolitan Board of Works.</w:t>
            </w:r>
          </w:p>
          <w:p w:rsidR="0032262B" w:rsidRPr="004537EA" w:rsidRDefault="0032262B" w:rsidP="0032676A">
            <w:pPr>
              <w:pStyle w:val="CGCTableStub"/>
              <w:rPr>
                <w:rFonts w:cstheme="minorHAnsi"/>
              </w:rPr>
            </w:pPr>
            <w:r>
              <w:t>The charge is calculated by applying a fixed rate of tax to a property’s net annual value. There is a minimum charge and the majority of rate payers pay the minimum.</w:t>
            </w:r>
          </w:p>
        </w:tc>
        <w:tc>
          <w:tcPr>
            <w:tcW w:w="524" w:type="pct"/>
          </w:tcPr>
          <w:p w:rsidR="0032262B" w:rsidRPr="004537EA" w:rsidRDefault="0032262B" w:rsidP="0032676A">
            <w:pPr>
              <w:pStyle w:val="CGCTableStub"/>
              <w:jc w:val="right"/>
              <w:rPr>
                <w:rFonts w:cstheme="minorHAnsi"/>
              </w:rPr>
            </w:pPr>
            <w:r>
              <w:rPr>
                <w:rFonts w:cstheme="minorHAnsi"/>
              </w:rPr>
              <w:t>162</w:t>
            </w:r>
          </w:p>
        </w:tc>
      </w:tr>
      <w:tr w:rsidR="0032262B" w:rsidRPr="004537EA" w:rsidTr="0032676A">
        <w:tc>
          <w:tcPr>
            <w:tcW w:w="1135" w:type="pct"/>
          </w:tcPr>
          <w:p w:rsidR="0032262B" w:rsidRDefault="0032262B" w:rsidP="0032676A">
            <w:pPr>
              <w:pStyle w:val="CGCTableStub"/>
              <w:rPr>
                <w:rFonts w:cstheme="minorHAnsi"/>
              </w:rPr>
            </w:pPr>
            <w:r>
              <w:rPr>
                <w:rFonts w:cstheme="minorHAnsi"/>
              </w:rPr>
              <w:t>Metropolitan planning levy</w:t>
            </w:r>
          </w:p>
        </w:tc>
        <w:tc>
          <w:tcPr>
            <w:tcW w:w="3341" w:type="pct"/>
          </w:tcPr>
          <w:p w:rsidR="0032262B" w:rsidRPr="004537EA" w:rsidRDefault="0032262B" w:rsidP="0032676A">
            <w:pPr>
              <w:pStyle w:val="CGCTableStub"/>
              <w:rPr>
                <w:rFonts w:cstheme="minorHAnsi"/>
              </w:rPr>
            </w:pPr>
            <w:r>
              <w:rPr>
                <w:rFonts w:cstheme="minorHAnsi"/>
              </w:rPr>
              <w:t>A planning permit application charge for the development of land in metropolitan Melbourne if the estimated cost of the development exceeds a threshold amount ($1m in 2017-18).</w:t>
            </w:r>
          </w:p>
        </w:tc>
        <w:tc>
          <w:tcPr>
            <w:tcW w:w="524" w:type="pct"/>
          </w:tcPr>
          <w:p w:rsidR="0032262B" w:rsidRDefault="0032262B" w:rsidP="0032676A">
            <w:pPr>
              <w:pStyle w:val="CGCTableStub"/>
              <w:jc w:val="right"/>
              <w:rPr>
                <w:rFonts w:cstheme="minorHAnsi"/>
              </w:rPr>
            </w:pPr>
            <w:r>
              <w:rPr>
                <w:rFonts w:cstheme="minorHAnsi"/>
              </w:rPr>
              <w:t>27</w:t>
            </w:r>
          </w:p>
        </w:tc>
      </w:tr>
      <w:tr w:rsidR="0032262B" w:rsidRPr="004537EA" w:rsidTr="0032676A">
        <w:tc>
          <w:tcPr>
            <w:tcW w:w="1135" w:type="pct"/>
            <w:tcBorders>
              <w:bottom w:val="single" w:sz="6" w:space="0" w:color="auto"/>
            </w:tcBorders>
          </w:tcPr>
          <w:p w:rsidR="0032262B" w:rsidRDefault="0032262B" w:rsidP="0032676A">
            <w:pPr>
              <w:pStyle w:val="CGCTableStub"/>
              <w:rPr>
                <w:rFonts w:cstheme="minorHAnsi"/>
              </w:rPr>
            </w:pPr>
            <w:r>
              <w:rPr>
                <w:rFonts w:cstheme="minorHAnsi"/>
              </w:rPr>
              <w:t>Growth areas infrastructure contribution</w:t>
            </w:r>
            <w:r w:rsidR="00E0681C">
              <w:rPr>
                <w:rFonts w:cstheme="minorHAnsi"/>
              </w:rPr>
              <w:t xml:space="preserve"> (GAIC)</w:t>
            </w:r>
          </w:p>
        </w:tc>
        <w:tc>
          <w:tcPr>
            <w:tcW w:w="3341" w:type="pct"/>
            <w:tcBorders>
              <w:bottom w:val="single" w:sz="6" w:space="0" w:color="auto"/>
            </w:tcBorders>
          </w:tcPr>
          <w:p w:rsidR="0032262B" w:rsidRDefault="0032262B" w:rsidP="0032676A">
            <w:pPr>
              <w:pStyle w:val="CGCTableStub"/>
            </w:pPr>
            <w:r>
              <w:t>A one-off contribution that helps provide infrastructure in Melbourne’s expanding fringe suburbs. A GAIC is payable on certain ‘events’. It is payable in relation to certain growth area land that has been zoned for urban use.</w:t>
            </w:r>
          </w:p>
          <w:p w:rsidR="0032262B" w:rsidRPr="004537EA" w:rsidRDefault="0032262B" w:rsidP="0032676A">
            <w:pPr>
              <w:pStyle w:val="CGCTableStub"/>
              <w:rPr>
                <w:rFonts w:cstheme="minorHAnsi"/>
              </w:rPr>
            </w:pPr>
            <w:r>
              <w:t>Different rates of GAIC apply to different types of land.</w:t>
            </w:r>
          </w:p>
        </w:tc>
        <w:tc>
          <w:tcPr>
            <w:tcW w:w="524" w:type="pct"/>
            <w:tcBorders>
              <w:bottom w:val="single" w:sz="6" w:space="0" w:color="auto"/>
            </w:tcBorders>
          </w:tcPr>
          <w:p w:rsidR="0032262B" w:rsidRDefault="0032262B" w:rsidP="0032676A">
            <w:pPr>
              <w:pStyle w:val="CGCTableStub"/>
              <w:jc w:val="right"/>
              <w:rPr>
                <w:rFonts w:cstheme="minorHAnsi"/>
              </w:rPr>
            </w:pPr>
            <w:r>
              <w:rPr>
                <w:rFonts w:cstheme="minorHAnsi"/>
              </w:rPr>
              <w:t>175</w:t>
            </w:r>
          </w:p>
        </w:tc>
      </w:tr>
    </w:tbl>
    <w:p w:rsidR="0032262B" w:rsidRDefault="0032262B" w:rsidP="0032262B">
      <w:pPr>
        <w:pStyle w:val="CGCTableFootnote"/>
      </w:pPr>
      <w:r>
        <w:t>Source:</w:t>
      </w:r>
      <w:r>
        <w:tab/>
        <w:t>Statement of Finances, Budget Paper No 5, 2017-18, Table 4.2, page 149.</w:t>
      </w:r>
    </w:p>
    <w:p w:rsidR="0032262B" w:rsidRDefault="0032262B" w:rsidP="0032262B">
      <w:pPr>
        <w:pStyle w:val="CGCTableHeading"/>
      </w:pPr>
      <w:r>
        <w:t>Table A-</w:t>
      </w:r>
      <w:fldSimple w:instr=" SEQ Table \* ARABIC ">
        <w:r w:rsidR="002839F7">
          <w:rPr>
            <w:noProof/>
          </w:rPr>
          <w:t>3</w:t>
        </w:r>
      </w:fldSimple>
      <w:r>
        <w:tab/>
        <w:t>Land based taxes, Queensland, 2017-18</w:t>
      </w:r>
    </w:p>
    <w:tbl>
      <w:tblPr>
        <w:tblW w:w="5000" w:type="pct"/>
        <w:tblCellMar>
          <w:left w:w="85" w:type="dxa"/>
          <w:right w:w="85" w:type="dxa"/>
        </w:tblCellMar>
        <w:tblLook w:val="0000" w:firstRow="0" w:lastRow="0" w:firstColumn="0" w:lastColumn="0" w:noHBand="0" w:noVBand="0"/>
      </w:tblPr>
      <w:tblGrid>
        <w:gridCol w:w="2070"/>
        <w:gridCol w:w="6095"/>
        <w:gridCol w:w="956"/>
      </w:tblGrid>
      <w:tr w:rsidR="0032262B" w:rsidRPr="004537EA" w:rsidTr="0032676A">
        <w:tc>
          <w:tcPr>
            <w:tcW w:w="1135"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Taxes on land</w:t>
            </w:r>
          </w:p>
        </w:tc>
        <w:tc>
          <w:tcPr>
            <w:tcW w:w="3341"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Basis of collection</w:t>
            </w:r>
          </w:p>
        </w:tc>
        <w:tc>
          <w:tcPr>
            <w:tcW w:w="524" w:type="pct"/>
            <w:tcBorders>
              <w:top w:val="single" w:sz="6" w:space="0" w:color="auto"/>
              <w:bottom w:val="single" w:sz="6" w:space="0" w:color="auto"/>
            </w:tcBorders>
            <w:vAlign w:val="bottom"/>
          </w:tcPr>
          <w:p w:rsidR="0032262B" w:rsidRPr="004537EA" w:rsidRDefault="0032262B" w:rsidP="0032676A">
            <w:pPr>
              <w:pStyle w:val="TableColHeadings"/>
              <w:rPr>
                <w:rFonts w:cstheme="minorHAnsi"/>
              </w:rPr>
            </w:pPr>
            <w:r>
              <w:rPr>
                <w:rFonts w:cstheme="minorHAnsi"/>
              </w:rPr>
              <w:t>Amount</w:t>
            </w:r>
          </w:p>
        </w:tc>
      </w:tr>
      <w:tr w:rsidR="0032262B" w:rsidRPr="004537EA" w:rsidTr="0032676A">
        <w:tc>
          <w:tcPr>
            <w:tcW w:w="1135" w:type="pct"/>
            <w:tcMar>
              <w:top w:w="0" w:type="dxa"/>
              <w:bottom w:w="0" w:type="dxa"/>
            </w:tcMar>
            <w:vAlign w:val="bottom"/>
          </w:tcPr>
          <w:p w:rsidR="0032262B" w:rsidRPr="004537EA" w:rsidRDefault="0032262B" w:rsidP="0032676A">
            <w:pPr>
              <w:pStyle w:val="TableRowUnits"/>
              <w:rPr>
                <w:rFonts w:cstheme="minorHAnsi"/>
              </w:rPr>
            </w:pPr>
          </w:p>
        </w:tc>
        <w:tc>
          <w:tcPr>
            <w:tcW w:w="3341" w:type="pct"/>
            <w:tcMar>
              <w:top w:w="0" w:type="dxa"/>
              <w:bottom w:w="0" w:type="dxa"/>
            </w:tcMar>
            <w:vAlign w:val="bottom"/>
          </w:tcPr>
          <w:p w:rsidR="0032262B" w:rsidRPr="004537EA" w:rsidRDefault="0032262B" w:rsidP="0032676A">
            <w:pPr>
              <w:pStyle w:val="TableRowUnits"/>
              <w:rPr>
                <w:rFonts w:cstheme="minorHAnsi"/>
              </w:rPr>
            </w:pPr>
          </w:p>
        </w:tc>
        <w:tc>
          <w:tcPr>
            <w:tcW w:w="524" w:type="pct"/>
            <w:tcMar>
              <w:top w:w="0" w:type="dxa"/>
              <w:bottom w:w="0" w:type="dxa"/>
            </w:tcMar>
            <w:vAlign w:val="bottom"/>
          </w:tcPr>
          <w:p w:rsidR="0032262B" w:rsidRPr="004537EA" w:rsidRDefault="0032262B" w:rsidP="0032676A">
            <w:pPr>
              <w:pStyle w:val="TableRowUnits"/>
              <w:rPr>
                <w:rFonts w:cstheme="minorHAnsi"/>
              </w:rPr>
            </w:pPr>
            <w:r>
              <w:rPr>
                <w:rFonts w:cstheme="minorHAnsi"/>
              </w:rPr>
              <w:t>$m</w:t>
            </w:r>
          </w:p>
        </w:tc>
      </w:tr>
      <w:tr w:rsidR="0032262B" w:rsidRPr="004537EA" w:rsidTr="0032676A">
        <w:tc>
          <w:tcPr>
            <w:tcW w:w="1135" w:type="pct"/>
          </w:tcPr>
          <w:p w:rsidR="0032262B" w:rsidRDefault="0032262B" w:rsidP="0032676A">
            <w:pPr>
              <w:pStyle w:val="TableRowNormal"/>
              <w:ind w:left="0" w:firstLine="0"/>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Land tax</w:t>
            </w:r>
          </w:p>
        </w:tc>
        <w:tc>
          <w:tcPr>
            <w:tcW w:w="3341" w:type="pct"/>
          </w:tcPr>
          <w:p w:rsidR="0032262B" w:rsidRDefault="0032262B" w:rsidP="0032676A">
            <w:pPr>
              <w:pStyle w:val="TableRowNormal"/>
              <w:ind w:left="0" w:firstLine="0"/>
              <w:jc w:val="left"/>
              <w:rPr>
                <w:rFonts w:ascii="Calibri" w:eastAsia="Times New Roman" w:hAnsi="Calibri" w:cs="Times New Roman"/>
                <w:lang w:eastAsia="en-AU"/>
              </w:rPr>
            </w:pPr>
            <w:r>
              <w:rPr>
                <w:rFonts w:ascii="Calibri" w:eastAsia="Times New Roman" w:hAnsi="Calibri" w:cs="Times New Roman"/>
                <w:lang w:eastAsia="en-AU"/>
              </w:rPr>
              <w:t>Aggregated value of each land owner’s taxable land holdings.</w:t>
            </w:r>
          </w:p>
        </w:tc>
        <w:tc>
          <w:tcPr>
            <w:tcW w:w="524" w:type="pct"/>
          </w:tcPr>
          <w:p w:rsidR="0032262B" w:rsidRDefault="0032262B" w:rsidP="0032676A">
            <w:pPr>
              <w:pStyle w:val="CGCTableStub"/>
              <w:jc w:val="right"/>
              <w:rPr>
                <w:rFonts w:cstheme="minorHAnsi"/>
              </w:rPr>
            </w:pPr>
            <w:r>
              <w:rPr>
                <w:rFonts w:cstheme="minorHAnsi"/>
              </w:rPr>
              <w:t>1 192</w:t>
            </w:r>
          </w:p>
        </w:tc>
      </w:tr>
      <w:tr w:rsidR="0032262B" w:rsidRPr="004537EA" w:rsidTr="0032676A">
        <w:tc>
          <w:tcPr>
            <w:tcW w:w="1135" w:type="pct"/>
            <w:tcBorders>
              <w:bottom w:val="single" w:sz="6" w:space="0" w:color="auto"/>
            </w:tcBorders>
          </w:tcPr>
          <w:p w:rsidR="0032262B" w:rsidRPr="004537EA" w:rsidRDefault="0032262B" w:rsidP="0032676A">
            <w:pPr>
              <w:pStyle w:val="TableRowNormal"/>
              <w:ind w:left="0" w:firstLine="0"/>
              <w:jc w:val="left"/>
              <w:rPr>
                <w:rFonts w:cstheme="minorHAnsi"/>
              </w:rPr>
            </w:pPr>
            <w:r>
              <w:rPr>
                <w:rFonts w:ascii="Calibri" w:eastAsia="Times New Roman" w:hAnsi="Calibri" w:cs="Times New Roman"/>
                <w:color w:val="000000"/>
                <w:lang w:eastAsia="en-AU"/>
              </w:rPr>
              <w:t>Emergency management levy</w:t>
            </w:r>
          </w:p>
        </w:tc>
        <w:tc>
          <w:tcPr>
            <w:tcW w:w="3341" w:type="pct"/>
            <w:tcBorders>
              <w:bottom w:val="single" w:sz="6" w:space="0" w:color="auto"/>
            </w:tcBorders>
          </w:tcPr>
          <w:p w:rsidR="0032262B" w:rsidRPr="004537EA" w:rsidRDefault="0032262B" w:rsidP="00E0681C">
            <w:pPr>
              <w:pStyle w:val="TableRowNormal"/>
              <w:ind w:left="0" w:firstLine="0"/>
              <w:jc w:val="left"/>
              <w:rPr>
                <w:rFonts w:cstheme="minorHAnsi"/>
              </w:rPr>
            </w:pPr>
            <w:r>
              <w:rPr>
                <w:rFonts w:ascii="Calibri" w:eastAsia="Times New Roman" w:hAnsi="Calibri" w:cs="Times New Roman"/>
                <w:lang w:eastAsia="en-AU"/>
              </w:rPr>
              <w:t xml:space="preserve">A property based levy collected with council rates. </w:t>
            </w:r>
            <w:r w:rsidR="004A5EE6">
              <w:rPr>
                <w:rFonts w:ascii="Calibri" w:eastAsia="Times New Roman" w:hAnsi="Calibri" w:cs="Times New Roman"/>
                <w:lang w:eastAsia="en-AU"/>
              </w:rPr>
              <w:t xml:space="preserve">It is hypothecated </w:t>
            </w:r>
            <w:r w:rsidR="00E0681C">
              <w:rPr>
                <w:rFonts w:ascii="Calibri" w:eastAsia="Times New Roman" w:hAnsi="Calibri" w:cs="Times New Roman"/>
                <w:lang w:eastAsia="en-AU"/>
              </w:rPr>
              <w:t>to</w:t>
            </w:r>
            <w:r w:rsidR="004A5EE6">
              <w:rPr>
                <w:rFonts w:ascii="Calibri" w:eastAsia="Times New Roman" w:hAnsi="Calibri" w:cs="Times New Roman"/>
                <w:lang w:eastAsia="en-AU"/>
              </w:rPr>
              <w:t xml:space="preserve"> fund the Queensland Fire Service. </w:t>
            </w:r>
            <w:r>
              <w:rPr>
                <w:rFonts w:ascii="Calibri" w:eastAsia="Times New Roman" w:hAnsi="Calibri" w:cs="Times New Roman"/>
                <w:lang w:eastAsia="en-AU"/>
              </w:rPr>
              <w:t>The levy applies to all properties. It Is based on the location and the category of the property.</w:t>
            </w:r>
          </w:p>
        </w:tc>
        <w:tc>
          <w:tcPr>
            <w:tcW w:w="524" w:type="pct"/>
            <w:tcBorders>
              <w:bottom w:val="single" w:sz="6" w:space="0" w:color="auto"/>
            </w:tcBorders>
          </w:tcPr>
          <w:p w:rsidR="0032262B" w:rsidRDefault="0032262B" w:rsidP="0032676A">
            <w:pPr>
              <w:pStyle w:val="CGCTableStub"/>
              <w:jc w:val="right"/>
              <w:rPr>
                <w:rFonts w:cstheme="minorHAnsi"/>
              </w:rPr>
            </w:pPr>
            <w:r>
              <w:rPr>
                <w:rFonts w:cstheme="minorHAnsi"/>
              </w:rPr>
              <w:t>508</w:t>
            </w:r>
          </w:p>
        </w:tc>
      </w:tr>
    </w:tbl>
    <w:p w:rsidR="0032262B" w:rsidRDefault="0032262B" w:rsidP="0032262B">
      <w:pPr>
        <w:pStyle w:val="CGCTableFootnote"/>
      </w:pPr>
      <w:r>
        <w:t>Source:</w:t>
      </w:r>
      <w:r>
        <w:tab/>
        <w:t>Budget Strategy and Outlook, Budget Paper No 2, 2017-18, Table 4.2, page 149.</w:t>
      </w:r>
    </w:p>
    <w:p w:rsidR="0032262B" w:rsidRDefault="0032262B" w:rsidP="0032262B">
      <w:pPr>
        <w:pStyle w:val="CGCTableHeading"/>
      </w:pPr>
      <w:r>
        <w:t>Table A-</w:t>
      </w:r>
      <w:fldSimple w:instr=" SEQ Table \* ARABIC ">
        <w:r w:rsidR="002839F7">
          <w:rPr>
            <w:noProof/>
          </w:rPr>
          <w:t>4</w:t>
        </w:r>
      </w:fldSimple>
      <w:r>
        <w:tab/>
        <w:t>Land based taxes, Western Australia, 2017-18</w:t>
      </w:r>
    </w:p>
    <w:tbl>
      <w:tblPr>
        <w:tblW w:w="5000" w:type="pct"/>
        <w:tblCellMar>
          <w:left w:w="85" w:type="dxa"/>
          <w:right w:w="85" w:type="dxa"/>
        </w:tblCellMar>
        <w:tblLook w:val="0000" w:firstRow="0" w:lastRow="0" w:firstColumn="0" w:lastColumn="0" w:noHBand="0" w:noVBand="0"/>
      </w:tblPr>
      <w:tblGrid>
        <w:gridCol w:w="2070"/>
        <w:gridCol w:w="6095"/>
        <w:gridCol w:w="956"/>
      </w:tblGrid>
      <w:tr w:rsidR="0032262B" w:rsidRPr="004537EA" w:rsidTr="0032676A">
        <w:tc>
          <w:tcPr>
            <w:tcW w:w="1135"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Taxes on land</w:t>
            </w:r>
          </w:p>
        </w:tc>
        <w:tc>
          <w:tcPr>
            <w:tcW w:w="3341"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Basis of collection</w:t>
            </w:r>
          </w:p>
        </w:tc>
        <w:tc>
          <w:tcPr>
            <w:tcW w:w="524" w:type="pct"/>
            <w:tcBorders>
              <w:top w:val="single" w:sz="6" w:space="0" w:color="auto"/>
              <w:bottom w:val="single" w:sz="6" w:space="0" w:color="auto"/>
            </w:tcBorders>
            <w:vAlign w:val="bottom"/>
          </w:tcPr>
          <w:p w:rsidR="0032262B" w:rsidRPr="004537EA" w:rsidRDefault="0032262B" w:rsidP="0032676A">
            <w:pPr>
              <w:pStyle w:val="TableColHeadings"/>
              <w:rPr>
                <w:rFonts w:cstheme="minorHAnsi"/>
              </w:rPr>
            </w:pPr>
            <w:r>
              <w:rPr>
                <w:rFonts w:cstheme="minorHAnsi"/>
              </w:rPr>
              <w:t>Amount</w:t>
            </w:r>
          </w:p>
        </w:tc>
      </w:tr>
      <w:tr w:rsidR="0032262B" w:rsidRPr="004537EA" w:rsidTr="0032676A">
        <w:tc>
          <w:tcPr>
            <w:tcW w:w="1135" w:type="pct"/>
            <w:tcMar>
              <w:top w:w="0" w:type="dxa"/>
              <w:bottom w:w="0" w:type="dxa"/>
            </w:tcMar>
            <w:vAlign w:val="bottom"/>
          </w:tcPr>
          <w:p w:rsidR="0032262B" w:rsidRPr="004537EA" w:rsidRDefault="0032262B" w:rsidP="0032676A">
            <w:pPr>
              <w:pStyle w:val="TableRowUnits"/>
              <w:rPr>
                <w:rFonts w:cstheme="minorHAnsi"/>
              </w:rPr>
            </w:pPr>
          </w:p>
        </w:tc>
        <w:tc>
          <w:tcPr>
            <w:tcW w:w="3341" w:type="pct"/>
            <w:tcMar>
              <w:top w:w="0" w:type="dxa"/>
              <w:bottom w:w="0" w:type="dxa"/>
            </w:tcMar>
            <w:vAlign w:val="bottom"/>
          </w:tcPr>
          <w:p w:rsidR="0032262B" w:rsidRPr="004537EA" w:rsidRDefault="0032262B" w:rsidP="0032676A">
            <w:pPr>
              <w:pStyle w:val="TableRowUnits"/>
              <w:rPr>
                <w:rFonts w:cstheme="minorHAnsi"/>
              </w:rPr>
            </w:pPr>
          </w:p>
        </w:tc>
        <w:tc>
          <w:tcPr>
            <w:tcW w:w="524" w:type="pct"/>
            <w:tcMar>
              <w:top w:w="0" w:type="dxa"/>
              <w:bottom w:w="0" w:type="dxa"/>
            </w:tcMar>
            <w:vAlign w:val="bottom"/>
          </w:tcPr>
          <w:p w:rsidR="0032262B" w:rsidRPr="004537EA" w:rsidRDefault="0032262B" w:rsidP="0032676A">
            <w:pPr>
              <w:pStyle w:val="TableRowUnits"/>
              <w:rPr>
                <w:rFonts w:cstheme="minorHAnsi"/>
              </w:rPr>
            </w:pPr>
            <w:r>
              <w:rPr>
                <w:rFonts w:cstheme="minorHAnsi"/>
              </w:rPr>
              <w:t>$m</w:t>
            </w:r>
          </w:p>
        </w:tc>
      </w:tr>
      <w:tr w:rsidR="0032262B" w:rsidRPr="004537EA" w:rsidTr="0032676A">
        <w:tc>
          <w:tcPr>
            <w:tcW w:w="1135" w:type="pct"/>
          </w:tcPr>
          <w:p w:rsidR="0032262B" w:rsidRDefault="0032262B" w:rsidP="0032676A">
            <w:pPr>
              <w:pStyle w:val="TableRowNormal"/>
              <w:ind w:left="0" w:firstLine="0"/>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Land tax</w:t>
            </w:r>
          </w:p>
        </w:tc>
        <w:tc>
          <w:tcPr>
            <w:tcW w:w="3341" w:type="pct"/>
          </w:tcPr>
          <w:p w:rsidR="0032262B" w:rsidRDefault="0032262B" w:rsidP="0032676A">
            <w:pPr>
              <w:pStyle w:val="TableRowNormal"/>
              <w:ind w:left="0" w:firstLine="0"/>
              <w:jc w:val="left"/>
              <w:rPr>
                <w:rFonts w:ascii="Calibri" w:eastAsia="Times New Roman" w:hAnsi="Calibri" w:cs="Times New Roman"/>
                <w:lang w:eastAsia="en-AU"/>
              </w:rPr>
            </w:pPr>
            <w:r>
              <w:rPr>
                <w:rFonts w:ascii="Calibri" w:eastAsia="Times New Roman" w:hAnsi="Calibri" w:cs="Times New Roman"/>
                <w:lang w:eastAsia="en-AU"/>
              </w:rPr>
              <w:t>Aggregated value of each land owner’s taxable land holdings.</w:t>
            </w:r>
          </w:p>
        </w:tc>
        <w:tc>
          <w:tcPr>
            <w:tcW w:w="524" w:type="pct"/>
          </w:tcPr>
          <w:p w:rsidR="0032262B" w:rsidRDefault="0032262B" w:rsidP="0032676A">
            <w:pPr>
              <w:pStyle w:val="CGCTableStub"/>
              <w:jc w:val="right"/>
              <w:rPr>
                <w:rFonts w:cstheme="minorHAnsi"/>
              </w:rPr>
            </w:pPr>
            <w:r>
              <w:rPr>
                <w:rFonts w:cstheme="minorHAnsi"/>
              </w:rPr>
              <w:t>846</w:t>
            </w:r>
          </w:p>
        </w:tc>
      </w:tr>
      <w:tr w:rsidR="0032262B" w:rsidRPr="004537EA" w:rsidTr="0032676A">
        <w:tc>
          <w:tcPr>
            <w:tcW w:w="1135" w:type="pct"/>
          </w:tcPr>
          <w:p w:rsidR="0032262B" w:rsidRPr="004537EA" w:rsidRDefault="0032262B" w:rsidP="0032676A">
            <w:pPr>
              <w:pStyle w:val="TableRowNormal"/>
              <w:ind w:left="0" w:firstLine="0"/>
              <w:jc w:val="left"/>
              <w:rPr>
                <w:rFonts w:cstheme="minorHAnsi"/>
              </w:rPr>
            </w:pPr>
            <w:r>
              <w:rPr>
                <w:rFonts w:ascii="Calibri" w:eastAsia="Times New Roman" w:hAnsi="Calibri" w:cs="Times New Roman"/>
                <w:color w:val="000000"/>
                <w:lang w:eastAsia="en-AU"/>
              </w:rPr>
              <w:t>Emergency Services levy</w:t>
            </w:r>
          </w:p>
        </w:tc>
        <w:tc>
          <w:tcPr>
            <w:tcW w:w="3341" w:type="pct"/>
          </w:tcPr>
          <w:p w:rsidR="0032262B" w:rsidRPr="004537EA" w:rsidRDefault="0032262B" w:rsidP="0032676A">
            <w:pPr>
              <w:pStyle w:val="TableRowNormal"/>
              <w:ind w:left="0" w:firstLine="0"/>
              <w:jc w:val="left"/>
              <w:rPr>
                <w:rFonts w:cstheme="minorHAnsi"/>
              </w:rPr>
            </w:pPr>
            <w:r>
              <w:rPr>
                <w:rFonts w:ascii="Calibri" w:eastAsia="Times New Roman" w:hAnsi="Calibri" w:cs="Times New Roman"/>
                <w:lang w:eastAsia="en-AU"/>
              </w:rPr>
              <w:t>A property based levy collected with council rates. Eligible pensioners and seniors are eligible for a rebate. There is a minimum and maximum fee. The revenue is hypothecated to supporting the State’s fire services.</w:t>
            </w:r>
          </w:p>
        </w:tc>
        <w:tc>
          <w:tcPr>
            <w:tcW w:w="524" w:type="pct"/>
          </w:tcPr>
          <w:p w:rsidR="0032262B" w:rsidRPr="004537EA" w:rsidRDefault="0032262B" w:rsidP="0032676A">
            <w:pPr>
              <w:pStyle w:val="CGCTableStub"/>
              <w:jc w:val="right"/>
              <w:rPr>
                <w:rFonts w:cstheme="minorHAnsi"/>
              </w:rPr>
            </w:pPr>
            <w:r>
              <w:rPr>
                <w:rFonts w:cstheme="minorHAnsi"/>
              </w:rPr>
              <w:t>337</w:t>
            </w:r>
          </w:p>
        </w:tc>
      </w:tr>
      <w:tr w:rsidR="0032262B" w:rsidRPr="004537EA" w:rsidTr="0032676A">
        <w:tc>
          <w:tcPr>
            <w:tcW w:w="1135" w:type="pct"/>
          </w:tcPr>
          <w:p w:rsidR="0032262B" w:rsidRPr="004537EA" w:rsidRDefault="0032262B" w:rsidP="0032676A">
            <w:pPr>
              <w:pStyle w:val="CGCTableStub"/>
              <w:rPr>
                <w:rFonts w:cstheme="minorHAnsi"/>
              </w:rPr>
            </w:pPr>
            <w:r>
              <w:rPr>
                <w:rFonts w:cstheme="minorHAnsi"/>
              </w:rPr>
              <w:t>Metropolitan Region improvement Tax</w:t>
            </w:r>
          </w:p>
        </w:tc>
        <w:tc>
          <w:tcPr>
            <w:tcW w:w="3341" w:type="pct"/>
          </w:tcPr>
          <w:p w:rsidR="0032262B" w:rsidRPr="004537EA" w:rsidRDefault="0032262B" w:rsidP="0032676A">
            <w:pPr>
              <w:pStyle w:val="CGCTableStub"/>
              <w:rPr>
                <w:rFonts w:cstheme="minorHAnsi"/>
              </w:rPr>
            </w:pPr>
            <w:r>
              <w:t>The tax is levied on the aggregated unimproved value of all land which is both liable for land tax and located within the boundaries of the metropolitan region.</w:t>
            </w:r>
          </w:p>
        </w:tc>
        <w:tc>
          <w:tcPr>
            <w:tcW w:w="524" w:type="pct"/>
          </w:tcPr>
          <w:p w:rsidR="0032262B" w:rsidRPr="004537EA" w:rsidRDefault="0032262B" w:rsidP="0032676A">
            <w:pPr>
              <w:pStyle w:val="CGCTableStub"/>
              <w:jc w:val="right"/>
              <w:rPr>
                <w:rFonts w:cstheme="minorHAnsi"/>
              </w:rPr>
            </w:pPr>
            <w:r>
              <w:rPr>
                <w:rFonts w:cstheme="minorHAnsi"/>
              </w:rPr>
              <w:t>95</w:t>
            </w:r>
          </w:p>
        </w:tc>
      </w:tr>
      <w:tr w:rsidR="0032262B" w:rsidRPr="004537EA" w:rsidTr="0032676A">
        <w:tc>
          <w:tcPr>
            <w:tcW w:w="1135" w:type="pct"/>
            <w:tcBorders>
              <w:bottom w:val="single" w:sz="6" w:space="0" w:color="auto"/>
            </w:tcBorders>
          </w:tcPr>
          <w:p w:rsidR="0032262B" w:rsidRDefault="0032262B" w:rsidP="0032676A">
            <w:pPr>
              <w:pStyle w:val="CGCTableStub"/>
              <w:rPr>
                <w:rFonts w:cstheme="minorHAnsi"/>
              </w:rPr>
            </w:pPr>
            <w:r>
              <w:rPr>
                <w:rFonts w:cstheme="minorHAnsi"/>
              </w:rPr>
              <w:t>Perth parking levy</w:t>
            </w:r>
          </w:p>
        </w:tc>
        <w:tc>
          <w:tcPr>
            <w:tcW w:w="3341" w:type="pct"/>
            <w:tcBorders>
              <w:bottom w:val="single" w:sz="6" w:space="0" w:color="auto"/>
            </w:tcBorders>
          </w:tcPr>
          <w:p w:rsidR="0032262B" w:rsidRPr="004537EA" w:rsidRDefault="0032262B" w:rsidP="0032676A">
            <w:pPr>
              <w:pStyle w:val="CGCTableStub"/>
              <w:rPr>
                <w:rFonts w:cstheme="minorHAnsi"/>
              </w:rPr>
            </w:pPr>
            <w:r>
              <w:t>The levy is charged on all non-residential parking bays within the Perth Parking Management Area. It is an annual fee.</w:t>
            </w:r>
          </w:p>
        </w:tc>
        <w:tc>
          <w:tcPr>
            <w:tcW w:w="524" w:type="pct"/>
            <w:tcBorders>
              <w:bottom w:val="single" w:sz="6" w:space="0" w:color="auto"/>
            </w:tcBorders>
          </w:tcPr>
          <w:p w:rsidR="0032262B" w:rsidRDefault="0032262B" w:rsidP="0032676A">
            <w:pPr>
              <w:pStyle w:val="CGCTableStub"/>
              <w:jc w:val="right"/>
              <w:rPr>
                <w:rFonts w:cstheme="minorHAnsi"/>
              </w:rPr>
            </w:pPr>
            <w:r>
              <w:rPr>
                <w:rFonts w:cstheme="minorHAnsi"/>
              </w:rPr>
              <w:t>58</w:t>
            </w:r>
          </w:p>
        </w:tc>
      </w:tr>
    </w:tbl>
    <w:p w:rsidR="0032262B" w:rsidRDefault="0032262B" w:rsidP="0032262B">
      <w:pPr>
        <w:pStyle w:val="CGCTableFootnote"/>
      </w:pPr>
      <w:r>
        <w:t>Source:</w:t>
      </w:r>
      <w:r>
        <w:tab/>
        <w:t>Economic and fiscal outlook, Budget Paper No 3, 2017-18, Table 2.1, page 260.</w:t>
      </w:r>
    </w:p>
    <w:p w:rsidR="0032262B" w:rsidRDefault="0032262B" w:rsidP="0032262B">
      <w:pPr>
        <w:pStyle w:val="CGCTableHeading"/>
      </w:pPr>
      <w:r>
        <w:t>Table A-</w:t>
      </w:r>
      <w:fldSimple w:instr=" SEQ Table \* ARABIC ">
        <w:r w:rsidR="002839F7">
          <w:rPr>
            <w:noProof/>
          </w:rPr>
          <w:t>5</w:t>
        </w:r>
      </w:fldSimple>
      <w:r>
        <w:tab/>
        <w:t>Land based taxes, South Australia, 2017-18</w:t>
      </w:r>
    </w:p>
    <w:tbl>
      <w:tblPr>
        <w:tblW w:w="5000" w:type="pct"/>
        <w:tblCellMar>
          <w:left w:w="85" w:type="dxa"/>
          <w:right w:w="85" w:type="dxa"/>
        </w:tblCellMar>
        <w:tblLook w:val="0000" w:firstRow="0" w:lastRow="0" w:firstColumn="0" w:lastColumn="0" w:noHBand="0" w:noVBand="0"/>
      </w:tblPr>
      <w:tblGrid>
        <w:gridCol w:w="2070"/>
        <w:gridCol w:w="6095"/>
        <w:gridCol w:w="956"/>
      </w:tblGrid>
      <w:tr w:rsidR="0032262B" w:rsidRPr="004537EA" w:rsidTr="0032676A">
        <w:tc>
          <w:tcPr>
            <w:tcW w:w="1135"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Taxes on land</w:t>
            </w:r>
          </w:p>
        </w:tc>
        <w:tc>
          <w:tcPr>
            <w:tcW w:w="3341"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Basis of collection</w:t>
            </w:r>
          </w:p>
        </w:tc>
        <w:tc>
          <w:tcPr>
            <w:tcW w:w="524" w:type="pct"/>
            <w:tcBorders>
              <w:top w:val="single" w:sz="6" w:space="0" w:color="auto"/>
              <w:bottom w:val="single" w:sz="6" w:space="0" w:color="auto"/>
            </w:tcBorders>
            <w:vAlign w:val="bottom"/>
          </w:tcPr>
          <w:p w:rsidR="0032262B" w:rsidRPr="004537EA" w:rsidRDefault="0032262B" w:rsidP="0032676A">
            <w:pPr>
              <w:pStyle w:val="TableColHeadings"/>
              <w:rPr>
                <w:rFonts w:cstheme="minorHAnsi"/>
              </w:rPr>
            </w:pPr>
            <w:r>
              <w:rPr>
                <w:rFonts w:cstheme="minorHAnsi"/>
              </w:rPr>
              <w:t>Amount</w:t>
            </w:r>
          </w:p>
        </w:tc>
      </w:tr>
      <w:tr w:rsidR="0032262B" w:rsidRPr="004537EA" w:rsidTr="0032676A">
        <w:tc>
          <w:tcPr>
            <w:tcW w:w="1135" w:type="pct"/>
            <w:tcMar>
              <w:top w:w="0" w:type="dxa"/>
              <w:bottom w:w="0" w:type="dxa"/>
            </w:tcMar>
            <w:vAlign w:val="bottom"/>
          </w:tcPr>
          <w:p w:rsidR="0032262B" w:rsidRPr="004537EA" w:rsidRDefault="0032262B" w:rsidP="0032676A">
            <w:pPr>
              <w:pStyle w:val="TableRowUnits"/>
              <w:rPr>
                <w:rFonts w:cstheme="minorHAnsi"/>
              </w:rPr>
            </w:pPr>
          </w:p>
        </w:tc>
        <w:tc>
          <w:tcPr>
            <w:tcW w:w="3341" w:type="pct"/>
            <w:tcMar>
              <w:top w:w="0" w:type="dxa"/>
              <w:bottom w:w="0" w:type="dxa"/>
            </w:tcMar>
            <w:vAlign w:val="bottom"/>
          </w:tcPr>
          <w:p w:rsidR="0032262B" w:rsidRPr="004537EA" w:rsidRDefault="0032262B" w:rsidP="0032676A">
            <w:pPr>
              <w:pStyle w:val="TableRowUnits"/>
              <w:rPr>
                <w:rFonts w:cstheme="minorHAnsi"/>
              </w:rPr>
            </w:pPr>
          </w:p>
        </w:tc>
        <w:tc>
          <w:tcPr>
            <w:tcW w:w="524" w:type="pct"/>
            <w:tcMar>
              <w:top w:w="0" w:type="dxa"/>
              <w:bottom w:w="0" w:type="dxa"/>
            </w:tcMar>
            <w:vAlign w:val="bottom"/>
          </w:tcPr>
          <w:p w:rsidR="0032262B" w:rsidRPr="004537EA" w:rsidRDefault="0032262B" w:rsidP="0032676A">
            <w:pPr>
              <w:pStyle w:val="TableRowUnits"/>
              <w:rPr>
                <w:rFonts w:cstheme="minorHAnsi"/>
              </w:rPr>
            </w:pPr>
            <w:r>
              <w:rPr>
                <w:rFonts w:cstheme="minorHAnsi"/>
              </w:rPr>
              <w:t>$m</w:t>
            </w:r>
          </w:p>
        </w:tc>
      </w:tr>
      <w:tr w:rsidR="0032262B" w:rsidRPr="004537EA" w:rsidTr="0032676A">
        <w:tc>
          <w:tcPr>
            <w:tcW w:w="1135" w:type="pct"/>
          </w:tcPr>
          <w:p w:rsidR="0032262B" w:rsidRDefault="0032262B" w:rsidP="0032676A">
            <w:pPr>
              <w:pStyle w:val="TableRowNormal"/>
              <w:ind w:left="0" w:firstLine="0"/>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Land tax — private</w:t>
            </w:r>
          </w:p>
        </w:tc>
        <w:tc>
          <w:tcPr>
            <w:tcW w:w="3341" w:type="pct"/>
          </w:tcPr>
          <w:p w:rsidR="0032262B" w:rsidRDefault="0032262B" w:rsidP="0032676A">
            <w:pPr>
              <w:pStyle w:val="TableRowNormal"/>
              <w:ind w:left="0" w:firstLine="0"/>
              <w:jc w:val="left"/>
              <w:rPr>
                <w:rFonts w:ascii="Calibri" w:eastAsia="Times New Roman" w:hAnsi="Calibri" w:cs="Times New Roman"/>
                <w:lang w:eastAsia="en-AU"/>
              </w:rPr>
            </w:pPr>
            <w:r>
              <w:rPr>
                <w:rFonts w:ascii="Calibri" w:eastAsia="Times New Roman" w:hAnsi="Calibri" w:cs="Times New Roman"/>
                <w:lang w:eastAsia="en-AU"/>
              </w:rPr>
              <w:t>Aggregated value of each land owner’s taxable land holdings.</w:t>
            </w:r>
          </w:p>
        </w:tc>
        <w:tc>
          <w:tcPr>
            <w:tcW w:w="524" w:type="pct"/>
          </w:tcPr>
          <w:p w:rsidR="0032262B" w:rsidRDefault="0032262B" w:rsidP="0032676A">
            <w:pPr>
              <w:pStyle w:val="CGCTableStub"/>
              <w:jc w:val="right"/>
              <w:rPr>
                <w:rFonts w:cstheme="minorHAnsi"/>
              </w:rPr>
            </w:pPr>
            <w:r>
              <w:rPr>
                <w:rFonts w:cstheme="minorHAnsi"/>
              </w:rPr>
              <w:t>850</w:t>
            </w:r>
          </w:p>
        </w:tc>
      </w:tr>
      <w:tr w:rsidR="0032262B" w:rsidRPr="004537EA" w:rsidTr="0032676A">
        <w:tc>
          <w:tcPr>
            <w:tcW w:w="1135" w:type="pct"/>
          </w:tcPr>
          <w:p w:rsidR="0032262B" w:rsidRDefault="0032262B" w:rsidP="0032676A">
            <w:pPr>
              <w:pStyle w:val="TableRowNormal"/>
              <w:ind w:left="0" w:firstLine="0"/>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Land tax — public</w:t>
            </w:r>
          </w:p>
        </w:tc>
        <w:tc>
          <w:tcPr>
            <w:tcW w:w="3341" w:type="pct"/>
          </w:tcPr>
          <w:p w:rsidR="0032262B" w:rsidRDefault="0032262B" w:rsidP="0032676A">
            <w:pPr>
              <w:pStyle w:val="TableRowNormal"/>
              <w:ind w:left="0" w:firstLine="0"/>
              <w:jc w:val="left"/>
              <w:rPr>
                <w:rFonts w:ascii="Calibri" w:eastAsia="Times New Roman" w:hAnsi="Calibri" w:cs="Times New Roman"/>
                <w:lang w:eastAsia="en-AU"/>
              </w:rPr>
            </w:pPr>
            <w:r>
              <w:rPr>
                <w:rFonts w:ascii="Calibri" w:eastAsia="Times New Roman" w:hAnsi="Calibri" w:cs="Times New Roman"/>
                <w:lang w:eastAsia="en-AU"/>
              </w:rPr>
              <w:t>Aggregated value of land holdings of the Public Housing Authority.</w:t>
            </w:r>
          </w:p>
        </w:tc>
        <w:tc>
          <w:tcPr>
            <w:tcW w:w="524" w:type="pct"/>
          </w:tcPr>
          <w:p w:rsidR="0032262B" w:rsidRDefault="0032262B" w:rsidP="0032676A">
            <w:pPr>
              <w:pStyle w:val="CGCTableStub"/>
              <w:jc w:val="right"/>
              <w:rPr>
                <w:rFonts w:cstheme="minorHAnsi"/>
              </w:rPr>
            </w:pPr>
            <w:r>
              <w:rPr>
                <w:rFonts w:cstheme="minorHAnsi"/>
              </w:rPr>
              <w:t>373</w:t>
            </w:r>
          </w:p>
        </w:tc>
      </w:tr>
      <w:tr w:rsidR="0032262B" w:rsidRPr="004537EA" w:rsidTr="0032676A">
        <w:tc>
          <w:tcPr>
            <w:tcW w:w="1135" w:type="pct"/>
            <w:tcBorders>
              <w:bottom w:val="single" w:sz="6" w:space="0" w:color="auto"/>
            </w:tcBorders>
          </w:tcPr>
          <w:p w:rsidR="0032262B" w:rsidRPr="004537EA" w:rsidRDefault="0032262B" w:rsidP="0032676A">
            <w:pPr>
              <w:pStyle w:val="TableRowNormal"/>
              <w:ind w:left="0" w:firstLine="0"/>
              <w:jc w:val="left"/>
              <w:rPr>
                <w:rFonts w:cstheme="minorHAnsi"/>
              </w:rPr>
            </w:pPr>
            <w:r>
              <w:rPr>
                <w:rFonts w:ascii="Calibri" w:eastAsia="Times New Roman" w:hAnsi="Calibri" w:cs="Times New Roman"/>
                <w:color w:val="000000"/>
                <w:lang w:eastAsia="en-AU"/>
              </w:rPr>
              <w:t>Emergency services levy on fixed property</w:t>
            </w:r>
          </w:p>
        </w:tc>
        <w:tc>
          <w:tcPr>
            <w:tcW w:w="3341" w:type="pct"/>
            <w:tcBorders>
              <w:bottom w:val="single" w:sz="6" w:space="0" w:color="auto"/>
            </w:tcBorders>
          </w:tcPr>
          <w:p w:rsidR="0032262B" w:rsidRPr="004537EA" w:rsidRDefault="0032262B" w:rsidP="0032676A">
            <w:pPr>
              <w:pStyle w:val="TableRowNormal"/>
              <w:ind w:left="0" w:firstLine="0"/>
              <w:jc w:val="left"/>
              <w:rPr>
                <w:rFonts w:cstheme="minorHAnsi"/>
              </w:rPr>
            </w:pPr>
            <w:r>
              <w:rPr>
                <w:rFonts w:ascii="Calibri" w:eastAsia="Times New Roman" w:hAnsi="Calibri" w:cs="Times New Roman"/>
                <w:lang w:eastAsia="en-AU"/>
              </w:rPr>
              <w:t>The levy is imposed on the capital value of land and buildings. It is collected by RevenueSA and placed into a dedicated fund for the exclusive use of emergency services. The levy comprises a fixed charge and a variable charge. A concession may be available for a principal place of residence for concession card holders.</w:t>
            </w:r>
          </w:p>
        </w:tc>
        <w:tc>
          <w:tcPr>
            <w:tcW w:w="524" w:type="pct"/>
            <w:tcBorders>
              <w:bottom w:val="single" w:sz="6" w:space="0" w:color="auto"/>
            </w:tcBorders>
          </w:tcPr>
          <w:p w:rsidR="0032262B" w:rsidRPr="004537EA" w:rsidRDefault="0032262B" w:rsidP="0032676A">
            <w:pPr>
              <w:pStyle w:val="CGCTableStub"/>
              <w:jc w:val="right"/>
              <w:rPr>
                <w:rFonts w:cstheme="minorHAnsi"/>
              </w:rPr>
            </w:pPr>
            <w:r>
              <w:rPr>
                <w:rFonts w:cstheme="minorHAnsi"/>
              </w:rPr>
              <w:t>215</w:t>
            </w:r>
          </w:p>
        </w:tc>
      </w:tr>
    </w:tbl>
    <w:p w:rsidR="0032262B" w:rsidRDefault="0032262B" w:rsidP="0032262B">
      <w:pPr>
        <w:pStyle w:val="CGCTableFootnote"/>
      </w:pPr>
      <w:r>
        <w:t>Source:</w:t>
      </w:r>
      <w:r>
        <w:tab/>
        <w:t>Budget Statement, Budget Paper No 3, 2017-18, Table 3.4, page 43.</w:t>
      </w:r>
    </w:p>
    <w:p w:rsidR="0032262B" w:rsidRDefault="0032262B" w:rsidP="0032262B">
      <w:pPr>
        <w:pStyle w:val="CGCTableHeading"/>
      </w:pPr>
      <w:r>
        <w:t>Table A-</w:t>
      </w:r>
      <w:fldSimple w:instr=" SEQ Table \* ARABIC ">
        <w:r w:rsidR="002839F7">
          <w:rPr>
            <w:noProof/>
          </w:rPr>
          <w:t>6</w:t>
        </w:r>
      </w:fldSimple>
      <w:r>
        <w:tab/>
        <w:t>Land based taxes, Tasmania, 2017-18</w:t>
      </w:r>
    </w:p>
    <w:tbl>
      <w:tblPr>
        <w:tblW w:w="5000" w:type="pct"/>
        <w:tblCellMar>
          <w:left w:w="85" w:type="dxa"/>
          <w:right w:w="85" w:type="dxa"/>
        </w:tblCellMar>
        <w:tblLook w:val="0000" w:firstRow="0" w:lastRow="0" w:firstColumn="0" w:lastColumn="0" w:noHBand="0" w:noVBand="0"/>
      </w:tblPr>
      <w:tblGrid>
        <w:gridCol w:w="2070"/>
        <w:gridCol w:w="6095"/>
        <w:gridCol w:w="956"/>
      </w:tblGrid>
      <w:tr w:rsidR="0032262B" w:rsidRPr="004537EA" w:rsidTr="0032676A">
        <w:tc>
          <w:tcPr>
            <w:tcW w:w="1135"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Taxes on land</w:t>
            </w:r>
          </w:p>
        </w:tc>
        <w:tc>
          <w:tcPr>
            <w:tcW w:w="3341"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Basis of collection</w:t>
            </w:r>
          </w:p>
        </w:tc>
        <w:tc>
          <w:tcPr>
            <w:tcW w:w="524" w:type="pct"/>
            <w:tcBorders>
              <w:top w:val="single" w:sz="6" w:space="0" w:color="auto"/>
              <w:bottom w:val="single" w:sz="6" w:space="0" w:color="auto"/>
            </w:tcBorders>
            <w:vAlign w:val="bottom"/>
          </w:tcPr>
          <w:p w:rsidR="0032262B" w:rsidRPr="004537EA" w:rsidRDefault="0032262B" w:rsidP="0032676A">
            <w:pPr>
              <w:pStyle w:val="TableColHeadings"/>
              <w:rPr>
                <w:rFonts w:cstheme="minorHAnsi"/>
              </w:rPr>
            </w:pPr>
            <w:r>
              <w:rPr>
                <w:rFonts w:cstheme="minorHAnsi"/>
              </w:rPr>
              <w:t>Amount</w:t>
            </w:r>
          </w:p>
        </w:tc>
      </w:tr>
      <w:tr w:rsidR="0032262B" w:rsidRPr="004537EA" w:rsidTr="0032676A">
        <w:tc>
          <w:tcPr>
            <w:tcW w:w="1135" w:type="pct"/>
            <w:tcMar>
              <w:top w:w="0" w:type="dxa"/>
              <w:bottom w:w="0" w:type="dxa"/>
            </w:tcMar>
            <w:vAlign w:val="bottom"/>
          </w:tcPr>
          <w:p w:rsidR="0032262B" w:rsidRPr="004537EA" w:rsidRDefault="0032262B" w:rsidP="0032676A">
            <w:pPr>
              <w:pStyle w:val="TableRowUnits"/>
              <w:rPr>
                <w:rFonts w:cstheme="minorHAnsi"/>
              </w:rPr>
            </w:pPr>
          </w:p>
        </w:tc>
        <w:tc>
          <w:tcPr>
            <w:tcW w:w="3341" w:type="pct"/>
            <w:tcMar>
              <w:top w:w="0" w:type="dxa"/>
              <w:bottom w:w="0" w:type="dxa"/>
            </w:tcMar>
            <w:vAlign w:val="bottom"/>
          </w:tcPr>
          <w:p w:rsidR="0032262B" w:rsidRPr="004537EA" w:rsidRDefault="0032262B" w:rsidP="0032676A">
            <w:pPr>
              <w:pStyle w:val="TableRowUnits"/>
              <w:rPr>
                <w:rFonts w:cstheme="minorHAnsi"/>
              </w:rPr>
            </w:pPr>
          </w:p>
        </w:tc>
        <w:tc>
          <w:tcPr>
            <w:tcW w:w="524" w:type="pct"/>
            <w:tcMar>
              <w:top w:w="0" w:type="dxa"/>
              <w:bottom w:w="0" w:type="dxa"/>
            </w:tcMar>
            <w:vAlign w:val="bottom"/>
          </w:tcPr>
          <w:p w:rsidR="0032262B" w:rsidRPr="004537EA" w:rsidRDefault="0032262B" w:rsidP="0032676A">
            <w:pPr>
              <w:pStyle w:val="TableRowUnits"/>
              <w:rPr>
                <w:rFonts w:cstheme="minorHAnsi"/>
              </w:rPr>
            </w:pPr>
            <w:r>
              <w:rPr>
                <w:rFonts w:cstheme="minorHAnsi"/>
              </w:rPr>
              <w:t>$m</w:t>
            </w:r>
          </w:p>
        </w:tc>
      </w:tr>
      <w:tr w:rsidR="0032262B" w:rsidRPr="004537EA" w:rsidTr="0032676A">
        <w:tc>
          <w:tcPr>
            <w:tcW w:w="1135" w:type="pct"/>
          </w:tcPr>
          <w:p w:rsidR="0032262B" w:rsidRDefault="0032262B" w:rsidP="0032676A">
            <w:pPr>
              <w:pStyle w:val="TableRowNormal"/>
              <w:ind w:left="0" w:firstLine="0"/>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Land tax</w:t>
            </w:r>
          </w:p>
        </w:tc>
        <w:tc>
          <w:tcPr>
            <w:tcW w:w="3341" w:type="pct"/>
          </w:tcPr>
          <w:p w:rsidR="0032262B" w:rsidRDefault="0032262B" w:rsidP="0032676A">
            <w:pPr>
              <w:pStyle w:val="TableRowNormal"/>
              <w:ind w:left="0" w:firstLine="0"/>
              <w:jc w:val="left"/>
              <w:rPr>
                <w:rFonts w:ascii="Calibri" w:eastAsia="Times New Roman" w:hAnsi="Calibri" w:cs="Times New Roman"/>
                <w:lang w:eastAsia="en-AU"/>
              </w:rPr>
            </w:pPr>
            <w:r>
              <w:rPr>
                <w:rFonts w:ascii="Calibri" w:eastAsia="Times New Roman" w:hAnsi="Calibri" w:cs="Times New Roman"/>
                <w:lang w:eastAsia="en-AU"/>
              </w:rPr>
              <w:t>Aggregated value of each land owner’s taxable land holdings.</w:t>
            </w:r>
          </w:p>
        </w:tc>
        <w:tc>
          <w:tcPr>
            <w:tcW w:w="524" w:type="pct"/>
          </w:tcPr>
          <w:p w:rsidR="0032262B" w:rsidRDefault="0032262B" w:rsidP="0032676A">
            <w:pPr>
              <w:pStyle w:val="CGCTableStub"/>
              <w:jc w:val="right"/>
              <w:rPr>
                <w:rFonts w:cstheme="minorHAnsi"/>
              </w:rPr>
            </w:pPr>
            <w:r>
              <w:rPr>
                <w:rFonts w:cstheme="minorHAnsi"/>
              </w:rPr>
              <w:t>105</w:t>
            </w:r>
          </w:p>
        </w:tc>
      </w:tr>
      <w:tr w:rsidR="0032262B" w:rsidRPr="004537EA" w:rsidTr="0032676A">
        <w:tc>
          <w:tcPr>
            <w:tcW w:w="1135" w:type="pct"/>
            <w:tcBorders>
              <w:bottom w:val="single" w:sz="6" w:space="0" w:color="auto"/>
            </w:tcBorders>
          </w:tcPr>
          <w:p w:rsidR="0032262B" w:rsidRPr="004537EA" w:rsidRDefault="0032262B" w:rsidP="0032676A">
            <w:pPr>
              <w:pStyle w:val="TableRowNormal"/>
              <w:ind w:left="0" w:firstLine="0"/>
              <w:jc w:val="left"/>
              <w:rPr>
                <w:rFonts w:cstheme="minorHAnsi"/>
              </w:rPr>
            </w:pPr>
            <w:r>
              <w:rPr>
                <w:rFonts w:ascii="Calibri" w:eastAsia="Times New Roman" w:hAnsi="Calibri" w:cs="Times New Roman"/>
                <w:color w:val="000000"/>
                <w:lang w:eastAsia="en-AU"/>
              </w:rPr>
              <w:t>Fire services levy</w:t>
            </w:r>
          </w:p>
        </w:tc>
        <w:tc>
          <w:tcPr>
            <w:tcW w:w="3341" w:type="pct"/>
            <w:tcBorders>
              <w:bottom w:val="single" w:sz="6" w:space="0" w:color="auto"/>
            </w:tcBorders>
          </w:tcPr>
          <w:p w:rsidR="0032262B" w:rsidRPr="004537EA" w:rsidRDefault="0032262B" w:rsidP="0032676A">
            <w:pPr>
              <w:pStyle w:val="TableRowNormal"/>
              <w:ind w:left="0" w:firstLine="0"/>
              <w:jc w:val="left"/>
              <w:rPr>
                <w:rFonts w:cstheme="minorHAnsi"/>
              </w:rPr>
            </w:pPr>
            <w:r>
              <w:rPr>
                <w:rFonts w:ascii="Calibri" w:eastAsia="Times New Roman" w:hAnsi="Calibri" w:cs="Times New Roman"/>
                <w:lang w:eastAsia="en-AU"/>
              </w:rPr>
              <w:t>A property based levy collected with council rates. The levy is based on the assessed annual value. The rate varies across regions. There is a minimum levy. The revenue is hypothecated to supporting the State’s fire services.</w:t>
            </w:r>
          </w:p>
        </w:tc>
        <w:tc>
          <w:tcPr>
            <w:tcW w:w="524" w:type="pct"/>
            <w:tcBorders>
              <w:bottom w:val="single" w:sz="6" w:space="0" w:color="auto"/>
            </w:tcBorders>
          </w:tcPr>
          <w:p w:rsidR="0032262B" w:rsidRPr="004537EA" w:rsidRDefault="0032262B" w:rsidP="0032676A">
            <w:pPr>
              <w:pStyle w:val="CGCTableStub"/>
              <w:jc w:val="right"/>
              <w:rPr>
                <w:rFonts w:cstheme="minorHAnsi"/>
              </w:rPr>
            </w:pPr>
            <w:r>
              <w:rPr>
                <w:rFonts w:cstheme="minorHAnsi"/>
              </w:rPr>
              <w:t>60</w:t>
            </w:r>
          </w:p>
        </w:tc>
      </w:tr>
    </w:tbl>
    <w:p w:rsidR="0032262B" w:rsidRDefault="0032262B" w:rsidP="0032262B">
      <w:pPr>
        <w:pStyle w:val="CGCTableFootnote"/>
      </w:pPr>
      <w:r>
        <w:t>Source:</w:t>
      </w:r>
      <w:r>
        <w:tab/>
        <w:t>The Budget, Budget Paper No 1, 2017-18, Table 5.5, page 90.</w:t>
      </w:r>
    </w:p>
    <w:p w:rsidR="0032262B" w:rsidRDefault="0032262B" w:rsidP="0032262B">
      <w:pPr>
        <w:pStyle w:val="CGCTableHeading"/>
      </w:pPr>
      <w:r>
        <w:t>Table A-</w:t>
      </w:r>
      <w:fldSimple w:instr=" SEQ Table \* ARABIC ">
        <w:r w:rsidR="002839F7">
          <w:rPr>
            <w:noProof/>
          </w:rPr>
          <w:t>7</w:t>
        </w:r>
      </w:fldSimple>
      <w:r>
        <w:tab/>
        <w:t>Land based taxes, ACT, 2017-18</w:t>
      </w:r>
    </w:p>
    <w:tbl>
      <w:tblPr>
        <w:tblW w:w="5000" w:type="pct"/>
        <w:tblCellMar>
          <w:left w:w="85" w:type="dxa"/>
          <w:right w:w="85" w:type="dxa"/>
        </w:tblCellMar>
        <w:tblLook w:val="0000" w:firstRow="0" w:lastRow="0" w:firstColumn="0" w:lastColumn="0" w:noHBand="0" w:noVBand="0"/>
      </w:tblPr>
      <w:tblGrid>
        <w:gridCol w:w="2070"/>
        <w:gridCol w:w="6095"/>
        <w:gridCol w:w="956"/>
      </w:tblGrid>
      <w:tr w:rsidR="0032262B" w:rsidRPr="004537EA" w:rsidTr="0032676A">
        <w:tc>
          <w:tcPr>
            <w:tcW w:w="1135"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Taxes on land</w:t>
            </w:r>
          </w:p>
        </w:tc>
        <w:tc>
          <w:tcPr>
            <w:tcW w:w="3341" w:type="pct"/>
            <w:tcBorders>
              <w:top w:val="single" w:sz="6" w:space="0" w:color="auto"/>
              <w:bottom w:val="single" w:sz="6" w:space="0" w:color="auto"/>
            </w:tcBorders>
            <w:vAlign w:val="bottom"/>
          </w:tcPr>
          <w:p w:rsidR="0032262B" w:rsidRPr="004537EA" w:rsidRDefault="0032262B" w:rsidP="0032676A">
            <w:pPr>
              <w:pStyle w:val="TableColHeadings"/>
              <w:jc w:val="left"/>
              <w:rPr>
                <w:rFonts w:cstheme="minorHAnsi"/>
              </w:rPr>
            </w:pPr>
            <w:r>
              <w:rPr>
                <w:rFonts w:cstheme="minorHAnsi"/>
              </w:rPr>
              <w:t>Basis of collection</w:t>
            </w:r>
          </w:p>
        </w:tc>
        <w:tc>
          <w:tcPr>
            <w:tcW w:w="524" w:type="pct"/>
            <w:tcBorders>
              <w:top w:val="single" w:sz="6" w:space="0" w:color="auto"/>
              <w:bottom w:val="single" w:sz="6" w:space="0" w:color="auto"/>
            </w:tcBorders>
            <w:vAlign w:val="bottom"/>
          </w:tcPr>
          <w:p w:rsidR="0032262B" w:rsidRPr="004537EA" w:rsidRDefault="0032262B" w:rsidP="0032676A">
            <w:pPr>
              <w:pStyle w:val="TableColHeadings"/>
              <w:rPr>
                <w:rFonts w:cstheme="minorHAnsi"/>
              </w:rPr>
            </w:pPr>
            <w:r>
              <w:rPr>
                <w:rFonts w:cstheme="minorHAnsi"/>
              </w:rPr>
              <w:t>Amount</w:t>
            </w:r>
          </w:p>
        </w:tc>
      </w:tr>
      <w:tr w:rsidR="0032262B" w:rsidRPr="004537EA" w:rsidTr="0032676A">
        <w:tc>
          <w:tcPr>
            <w:tcW w:w="1135" w:type="pct"/>
            <w:tcMar>
              <w:top w:w="0" w:type="dxa"/>
              <w:bottom w:w="0" w:type="dxa"/>
            </w:tcMar>
            <w:vAlign w:val="bottom"/>
          </w:tcPr>
          <w:p w:rsidR="0032262B" w:rsidRPr="004537EA" w:rsidRDefault="0032262B" w:rsidP="0032676A">
            <w:pPr>
              <w:pStyle w:val="TableRowUnits"/>
              <w:rPr>
                <w:rFonts w:cstheme="minorHAnsi"/>
              </w:rPr>
            </w:pPr>
          </w:p>
        </w:tc>
        <w:tc>
          <w:tcPr>
            <w:tcW w:w="3341" w:type="pct"/>
            <w:tcMar>
              <w:top w:w="0" w:type="dxa"/>
              <w:bottom w:w="0" w:type="dxa"/>
            </w:tcMar>
            <w:vAlign w:val="bottom"/>
          </w:tcPr>
          <w:p w:rsidR="0032262B" w:rsidRPr="004537EA" w:rsidRDefault="0032262B" w:rsidP="0032676A">
            <w:pPr>
              <w:pStyle w:val="TableRowUnits"/>
              <w:rPr>
                <w:rFonts w:cstheme="minorHAnsi"/>
              </w:rPr>
            </w:pPr>
          </w:p>
        </w:tc>
        <w:tc>
          <w:tcPr>
            <w:tcW w:w="524" w:type="pct"/>
            <w:tcMar>
              <w:top w:w="0" w:type="dxa"/>
              <w:bottom w:w="0" w:type="dxa"/>
            </w:tcMar>
            <w:vAlign w:val="bottom"/>
          </w:tcPr>
          <w:p w:rsidR="0032262B" w:rsidRPr="004537EA" w:rsidRDefault="0032262B" w:rsidP="0032676A">
            <w:pPr>
              <w:pStyle w:val="TableRowUnits"/>
              <w:rPr>
                <w:rFonts w:cstheme="minorHAnsi"/>
              </w:rPr>
            </w:pPr>
            <w:r>
              <w:rPr>
                <w:rFonts w:cstheme="minorHAnsi"/>
              </w:rPr>
              <w:t>$m</w:t>
            </w:r>
          </w:p>
        </w:tc>
      </w:tr>
      <w:tr w:rsidR="0032262B" w:rsidRPr="004537EA" w:rsidTr="0032676A">
        <w:tc>
          <w:tcPr>
            <w:tcW w:w="1135" w:type="pct"/>
          </w:tcPr>
          <w:p w:rsidR="0032262B" w:rsidRDefault="0032262B" w:rsidP="0032676A">
            <w:pPr>
              <w:pStyle w:val="TableRowNormal"/>
              <w:ind w:left="0" w:firstLine="0"/>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Land tax</w:t>
            </w:r>
          </w:p>
        </w:tc>
        <w:tc>
          <w:tcPr>
            <w:tcW w:w="3341" w:type="pct"/>
          </w:tcPr>
          <w:p w:rsidR="0032262B" w:rsidRDefault="0032262B" w:rsidP="0032676A">
            <w:pPr>
              <w:pStyle w:val="TableRowNormal"/>
              <w:ind w:left="0" w:firstLine="0"/>
              <w:jc w:val="left"/>
              <w:rPr>
                <w:rFonts w:ascii="Calibri" w:eastAsia="Times New Roman" w:hAnsi="Calibri" w:cs="Times New Roman"/>
                <w:lang w:eastAsia="en-AU"/>
              </w:rPr>
            </w:pPr>
            <w:r>
              <w:rPr>
                <w:rFonts w:ascii="Calibri" w:eastAsia="Times New Roman" w:hAnsi="Calibri" w:cs="Times New Roman"/>
                <w:lang w:eastAsia="en-AU"/>
              </w:rPr>
              <w:t>Value of the property.</w:t>
            </w:r>
          </w:p>
        </w:tc>
        <w:tc>
          <w:tcPr>
            <w:tcW w:w="524" w:type="pct"/>
          </w:tcPr>
          <w:p w:rsidR="0032262B" w:rsidRDefault="0032262B" w:rsidP="0032676A">
            <w:pPr>
              <w:pStyle w:val="CGCTableStub"/>
              <w:jc w:val="right"/>
              <w:rPr>
                <w:rFonts w:cstheme="minorHAnsi"/>
              </w:rPr>
            </w:pPr>
            <w:r>
              <w:rPr>
                <w:rFonts w:cstheme="minorHAnsi"/>
              </w:rPr>
              <w:t>130</w:t>
            </w:r>
          </w:p>
        </w:tc>
      </w:tr>
      <w:tr w:rsidR="0032262B" w:rsidRPr="004537EA" w:rsidTr="0032676A">
        <w:tc>
          <w:tcPr>
            <w:tcW w:w="1135" w:type="pct"/>
          </w:tcPr>
          <w:p w:rsidR="0032262B" w:rsidRPr="004537EA" w:rsidRDefault="0032262B" w:rsidP="0032676A">
            <w:pPr>
              <w:pStyle w:val="TableRowNormal"/>
              <w:ind w:left="0" w:firstLine="0"/>
              <w:jc w:val="left"/>
              <w:rPr>
                <w:rFonts w:cstheme="minorHAnsi"/>
              </w:rPr>
            </w:pPr>
            <w:r>
              <w:rPr>
                <w:rFonts w:ascii="Calibri" w:eastAsia="Times New Roman" w:hAnsi="Calibri" w:cs="Times New Roman"/>
                <w:color w:val="000000"/>
                <w:lang w:eastAsia="en-AU"/>
              </w:rPr>
              <w:t>Fire and emergency service levy</w:t>
            </w:r>
          </w:p>
        </w:tc>
        <w:tc>
          <w:tcPr>
            <w:tcW w:w="3341" w:type="pct"/>
          </w:tcPr>
          <w:p w:rsidR="0032262B" w:rsidRPr="004537EA" w:rsidRDefault="0032262B" w:rsidP="0032676A">
            <w:pPr>
              <w:pStyle w:val="TableRowNormal"/>
              <w:ind w:left="0" w:firstLine="0"/>
              <w:jc w:val="left"/>
              <w:rPr>
                <w:rFonts w:cstheme="minorHAnsi"/>
              </w:rPr>
            </w:pPr>
            <w:r>
              <w:rPr>
                <w:rFonts w:ascii="Calibri" w:eastAsia="Times New Roman" w:hAnsi="Calibri" w:cs="Times New Roman"/>
                <w:lang w:eastAsia="en-AU"/>
              </w:rPr>
              <w:t xml:space="preserve">The levy is charged on all rateable properties. </w:t>
            </w:r>
            <w:r w:rsidR="004A5EE6">
              <w:rPr>
                <w:rFonts w:ascii="Calibri" w:eastAsia="Times New Roman" w:hAnsi="Calibri" w:cs="Times New Roman"/>
                <w:lang w:eastAsia="en-AU"/>
              </w:rPr>
              <w:t xml:space="preserve">It is hypothecated to cover costs associated with fire and emergency services in the ACT. </w:t>
            </w:r>
            <w:r>
              <w:rPr>
                <w:rFonts w:ascii="Calibri" w:eastAsia="Times New Roman" w:hAnsi="Calibri" w:cs="Times New Roman"/>
                <w:lang w:eastAsia="en-AU"/>
              </w:rPr>
              <w:t>A fixed fee applies to residential and rural properties. A marginal rate is applied to the average unimproved value of commercial properties.</w:t>
            </w:r>
          </w:p>
        </w:tc>
        <w:tc>
          <w:tcPr>
            <w:tcW w:w="524" w:type="pct"/>
          </w:tcPr>
          <w:p w:rsidR="0032262B" w:rsidRPr="004537EA" w:rsidRDefault="0032262B" w:rsidP="0032676A">
            <w:pPr>
              <w:pStyle w:val="CGCTableStub"/>
              <w:jc w:val="right"/>
              <w:rPr>
                <w:rFonts w:cstheme="minorHAnsi"/>
              </w:rPr>
            </w:pPr>
            <w:r>
              <w:rPr>
                <w:rFonts w:cstheme="minorHAnsi"/>
              </w:rPr>
              <w:t>73</w:t>
            </w:r>
          </w:p>
        </w:tc>
      </w:tr>
      <w:tr w:rsidR="0032262B" w:rsidRPr="004537EA" w:rsidTr="0032676A">
        <w:tc>
          <w:tcPr>
            <w:tcW w:w="1135" w:type="pct"/>
            <w:tcBorders>
              <w:bottom w:val="single" w:sz="6" w:space="0" w:color="auto"/>
            </w:tcBorders>
          </w:tcPr>
          <w:p w:rsidR="0032262B" w:rsidRDefault="0032262B" w:rsidP="0032676A">
            <w:pPr>
              <w:pStyle w:val="CGCTableStub"/>
              <w:rPr>
                <w:rFonts w:cstheme="minorHAnsi"/>
              </w:rPr>
            </w:pPr>
            <w:r>
              <w:rPr>
                <w:rFonts w:cstheme="minorHAnsi"/>
              </w:rPr>
              <w:t>City centre marketing and improvements levy</w:t>
            </w:r>
          </w:p>
        </w:tc>
        <w:tc>
          <w:tcPr>
            <w:tcW w:w="3341" w:type="pct"/>
            <w:tcBorders>
              <w:bottom w:val="single" w:sz="6" w:space="0" w:color="auto"/>
            </w:tcBorders>
          </w:tcPr>
          <w:p w:rsidR="0032262B" w:rsidRPr="004537EA" w:rsidRDefault="0032262B" w:rsidP="0032676A">
            <w:pPr>
              <w:pStyle w:val="CGCTableStub"/>
              <w:rPr>
                <w:rFonts w:cstheme="minorHAnsi"/>
              </w:rPr>
            </w:pPr>
            <w:r>
              <w:t>The levy is applied to all rateable commercial properties in the City and selected areas of benefit in Braddon. A marginal rate is applied to the average unimproved value of commercial properties. Different rates apply for retail core and non-retail core areas.</w:t>
            </w:r>
          </w:p>
        </w:tc>
        <w:tc>
          <w:tcPr>
            <w:tcW w:w="524" w:type="pct"/>
            <w:tcBorders>
              <w:bottom w:val="single" w:sz="6" w:space="0" w:color="auto"/>
            </w:tcBorders>
          </w:tcPr>
          <w:p w:rsidR="0032262B" w:rsidRDefault="0032262B" w:rsidP="0032676A">
            <w:pPr>
              <w:pStyle w:val="CGCTableStub"/>
              <w:jc w:val="right"/>
              <w:rPr>
                <w:rFonts w:cstheme="minorHAnsi"/>
              </w:rPr>
            </w:pPr>
            <w:r>
              <w:rPr>
                <w:rFonts w:cstheme="minorHAnsi"/>
              </w:rPr>
              <w:t>2</w:t>
            </w:r>
          </w:p>
        </w:tc>
      </w:tr>
    </w:tbl>
    <w:p w:rsidR="0032262B" w:rsidRDefault="0032262B" w:rsidP="0032262B">
      <w:pPr>
        <w:pStyle w:val="CGCTableFootnote"/>
      </w:pPr>
      <w:r>
        <w:t>Source:</w:t>
      </w:r>
      <w:r>
        <w:tab/>
        <w:t>Budget Outlook, Budget Paper No 3, 2017-18, Table 6.2.1, pages 223 to 224.</w:t>
      </w:r>
    </w:p>
    <w:p w:rsidR="0032262B" w:rsidRDefault="0032262B" w:rsidP="0032262B">
      <w:pPr>
        <w:pStyle w:val="CGCNumberedPara"/>
        <w:numPr>
          <w:ilvl w:val="0"/>
          <w:numId w:val="0"/>
        </w:numPr>
        <w:ind w:left="567" w:hanging="567"/>
      </w:pPr>
    </w:p>
    <w:p w:rsidR="00DC0F02" w:rsidRDefault="00DC0F02" w:rsidP="00E12E07"/>
    <w:p w:rsidR="00E12E07" w:rsidRPr="00C21EF9" w:rsidRDefault="00E12E07" w:rsidP="00E12E07"/>
    <w:sectPr w:rsidR="00E12E07" w:rsidRPr="00C21EF9" w:rsidSect="0004123E">
      <w:footerReference w:type="default" r:id="rId18"/>
      <w:footerReference w:type="first" r:id="rId19"/>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4FD" w:rsidRDefault="007C54FD">
      <w:r>
        <w:separator/>
      </w:r>
    </w:p>
  </w:endnote>
  <w:endnote w:type="continuationSeparator" w:id="0">
    <w:p w:rsidR="007C54FD" w:rsidRDefault="007C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FD" w:rsidRPr="00875C0F" w:rsidRDefault="007C54FD" w:rsidP="0032676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07996343"/>
      <w:docPartObj>
        <w:docPartGallery w:val="Page Numbers (Bottom of Page)"/>
        <w:docPartUnique/>
      </w:docPartObj>
    </w:sdtPr>
    <w:sdtEndPr/>
    <w:sdtContent>
      <w:p w:rsidR="007C54FD" w:rsidRDefault="007C54FD" w:rsidP="00BC5A15">
        <w:pPr>
          <w:pStyle w:val="Footer"/>
        </w:pPr>
      </w:p>
      <w:p w:rsidR="007C54FD" w:rsidRPr="00875C0F" w:rsidRDefault="00D73CE3" w:rsidP="0032676A">
        <w:pPr>
          <w:pStyle w:val="Foo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759981329"/>
      <w:docPartObj>
        <w:docPartGallery w:val="Page Numbers (Bottom of Page)"/>
        <w:docPartUnique/>
      </w:docPartObj>
    </w:sdtPr>
    <w:sdtEndPr/>
    <w:sdtContent>
      <w:p w:rsidR="007C54FD" w:rsidRDefault="007C54FD" w:rsidP="0032676A">
        <w:pPr>
          <w:pStyle w:val="Footer"/>
          <w:jc w:val="right"/>
          <w:rPr>
            <w:b/>
          </w:rPr>
        </w:pPr>
        <w:r w:rsidRPr="00AE702F">
          <w:fldChar w:fldCharType="begin"/>
        </w:r>
        <w:r w:rsidRPr="00AE702F">
          <w:instrText xml:space="preserve"> PAGE  \* Arabic  \* MERGEFORMAT </w:instrText>
        </w:r>
        <w:r w:rsidRPr="00AE702F">
          <w:fldChar w:fldCharType="separate"/>
        </w:r>
        <w:r w:rsidR="00232F19">
          <w:rPr>
            <w:noProof/>
          </w:rPr>
          <w:t>16</w:t>
        </w:r>
        <w:r w:rsidRPr="00AE702F">
          <w:fldChar w:fldCharType="end"/>
        </w:r>
      </w:p>
    </w:sdtContent>
  </w:sdt>
  <w:p w:rsidR="007C54FD" w:rsidRDefault="007C54F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A1" w:rsidRDefault="00C566A1" w:rsidP="00C566A1">
    <w:pPr>
      <w:pStyle w:val="Footer"/>
      <w:jc w:val="right"/>
      <w:rPr>
        <w:b/>
      </w:rPr>
    </w:pPr>
  </w:p>
  <w:p w:rsidR="007C54FD" w:rsidRDefault="007C54F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568721516"/>
      <w:docPartObj>
        <w:docPartGallery w:val="Page Numbers (Bottom of Page)"/>
        <w:docPartUnique/>
      </w:docPartObj>
    </w:sdtPr>
    <w:sdtEndPr/>
    <w:sdtContent>
      <w:p w:rsidR="00C566A1" w:rsidRDefault="00C566A1" w:rsidP="00C566A1">
        <w:pPr>
          <w:pStyle w:val="Footer"/>
          <w:jc w:val="right"/>
          <w:rPr>
            <w:b/>
          </w:rPr>
        </w:pPr>
        <w:r w:rsidRPr="00AE702F">
          <w:fldChar w:fldCharType="begin"/>
        </w:r>
        <w:r w:rsidRPr="00AE702F">
          <w:instrText xml:space="preserve"> PAGE  \* Arabic  \* MERGEFORMAT </w:instrText>
        </w:r>
        <w:r w:rsidRPr="00AE702F">
          <w:fldChar w:fldCharType="separate"/>
        </w:r>
        <w:r w:rsidR="00232F19">
          <w:rPr>
            <w:noProof/>
          </w:rPr>
          <w:t>1</w:t>
        </w:r>
        <w:r w:rsidRPr="00AE702F">
          <w:fldChar w:fldCharType="end"/>
        </w:r>
      </w:p>
    </w:sdtContent>
  </w:sdt>
  <w:p w:rsidR="00C566A1" w:rsidRDefault="00C566A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FD" w:rsidRPr="0011178C" w:rsidRDefault="007C54FD" w:rsidP="003929D2">
    <w:pPr>
      <w:pStyle w:val="Footer"/>
      <w:jc w:val="right"/>
    </w:pPr>
    <w:r>
      <w:fldChar w:fldCharType="begin"/>
    </w:r>
    <w:r>
      <w:instrText xml:space="preserve"> PAGE  \* Arabic  \* MERGEFORMAT </w:instrText>
    </w:r>
    <w:r>
      <w:fldChar w:fldCharType="separate"/>
    </w:r>
    <w:r w:rsidR="00232F19">
      <w:rPr>
        <w:noProof/>
      </w:rPr>
      <w:t>19</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FD" w:rsidRPr="007E487F" w:rsidRDefault="007C54FD" w:rsidP="00DC0F02">
    <w:pPr>
      <w:pStyle w:val="Footer"/>
      <w:tabs>
        <w:tab w:val="right" w:pos="8931"/>
      </w:tabs>
      <w:rPr>
        <w:sz w:val="20"/>
        <w:szCs w:val="20"/>
      </w:rPr>
    </w:pPr>
    <w:r>
      <w:rPr>
        <w:sz w:val="20"/>
        <w:szCs w:val="20"/>
      </w:rPr>
      <w:fldChar w:fldCharType="begin"/>
    </w:r>
    <w:r>
      <w:rPr>
        <w:sz w:val="20"/>
        <w:szCs w:val="20"/>
      </w:rPr>
      <w:instrText>FILENAME \p</w:instrText>
    </w:r>
    <w:r>
      <w:rPr>
        <w:sz w:val="20"/>
        <w:szCs w:val="20"/>
      </w:rPr>
      <w:fldChar w:fldCharType="separate"/>
    </w:r>
    <w:r w:rsidR="00D73CE3">
      <w:rPr>
        <w:noProof/>
        <w:sz w:val="20"/>
        <w:szCs w:val="20"/>
      </w:rPr>
      <w:t>I:\R2020\Draft assessment papers April 2018\Final version for web\2018-01-03-S Draft assessment paper - Land revenue.docx</w:t>
    </w:r>
    <w:r>
      <w:rPr>
        <w:sz w:val="20"/>
        <w:szCs w:val="20"/>
      </w:rPr>
      <w:fldChar w:fldCharType="end"/>
    </w:r>
    <w:r>
      <w:rPr>
        <w:sz w:val="20"/>
        <w:szCs w:val="20"/>
      </w:rPr>
      <w:tab/>
    </w:r>
    <w:r>
      <w:rPr>
        <w:sz w:val="20"/>
        <w:szCs w:val="20"/>
      </w:rPr>
      <w:tab/>
    </w:r>
    <w:r>
      <w:fldChar w:fldCharType="begin"/>
    </w:r>
    <w:r>
      <w:instrText xml:space="preserve"> PAGE   \* MERGEFORMAT </w:instrText>
    </w:r>
    <w:r>
      <w:fldChar w:fldCharType="separate"/>
    </w:r>
    <w:r w:rsidR="00232F19">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4FD" w:rsidRDefault="007C54FD">
      <w:r>
        <w:separator/>
      </w:r>
    </w:p>
  </w:footnote>
  <w:footnote w:type="continuationSeparator" w:id="0">
    <w:p w:rsidR="007C54FD" w:rsidRDefault="007C54FD">
      <w:r>
        <w:continuationSeparator/>
      </w:r>
    </w:p>
  </w:footnote>
  <w:footnote w:id="1">
    <w:p w:rsidR="007C54FD" w:rsidRDefault="007C54FD" w:rsidP="0032262B">
      <w:pPr>
        <w:pStyle w:val="FootnoteText"/>
      </w:pPr>
      <w:r>
        <w:rPr>
          <w:rStyle w:val="FootnoteReference"/>
        </w:rPr>
        <w:footnoteRef/>
      </w:r>
      <w:r>
        <w:t xml:space="preserve"> </w:t>
      </w:r>
      <w:r>
        <w:tab/>
        <w:t>Metropolitan levies comprised Victoria’s Growth Areas Infrastructure Contribution ($175 million in 2017-18) and Metropolitan Improvement Levy ($162 million in 2017-18), Western Australia’s Metropolitan Region Improvement Tax ($95 million in 2017-18) the ACT’s City Centre Marketing and Improvements Levy ($2 million in 2017-18).</w:t>
      </w:r>
    </w:p>
  </w:footnote>
  <w:footnote w:id="2">
    <w:p w:rsidR="007C54FD" w:rsidRDefault="007C54FD" w:rsidP="0032262B">
      <w:pPr>
        <w:pStyle w:val="FootnoteText"/>
      </w:pPr>
      <w:r>
        <w:rPr>
          <w:rStyle w:val="FootnoteReference"/>
        </w:rPr>
        <w:footnoteRef/>
      </w:r>
      <w:r>
        <w:t xml:space="preserve"> </w:t>
      </w:r>
      <w:r>
        <w:tab/>
        <w:t xml:space="preserve">The ACT is replacing conveyance duties with general rate revenue. The revenue included in the category was the part of ACT general rate revenue that </w:t>
      </w:r>
      <w:r w:rsidRPr="00A66AD0">
        <w:t>replace</w:t>
      </w:r>
      <w:r w:rsidR="00E0681C">
        <w:t>d</w:t>
      </w:r>
      <w:r w:rsidRPr="00A66AD0">
        <w:t xml:space="preserve"> conveyance duty</w:t>
      </w:r>
      <w:r>
        <w:t>.</w:t>
      </w:r>
    </w:p>
  </w:footnote>
  <w:footnote w:id="3">
    <w:p w:rsidR="007C54FD" w:rsidRDefault="007C54FD" w:rsidP="0032262B">
      <w:pPr>
        <w:pStyle w:val="FootnoteText"/>
      </w:pPr>
      <w:r>
        <w:rPr>
          <w:rStyle w:val="FootnoteReference"/>
        </w:rPr>
        <w:footnoteRef/>
      </w:r>
      <w:r>
        <w:t xml:space="preserve"> </w:t>
      </w:r>
      <w:r>
        <w:tab/>
        <w:t>An EPC assessment means States are assessed to have the same revenue capacity per capita. An EPC assessment does not change States’ GST shares.</w:t>
      </w:r>
    </w:p>
  </w:footnote>
  <w:footnote w:id="4">
    <w:p w:rsidR="007C54FD" w:rsidRDefault="007C54FD" w:rsidP="0032262B">
      <w:pPr>
        <w:pStyle w:val="FootnoteText"/>
      </w:pPr>
      <w:r>
        <w:rPr>
          <w:rStyle w:val="FootnoteReference"/>
        </w:rPr>
        <w:footnoteRef/>
      </w:r>
      <w:r>
        <w:t xml:space="preserve"> </w:t>
      </w:r>
      <w:r>
        <w:tab/>
        <w:t>There were exceptions. South Australia imposed Land tax on its public housing authority and Tasmania imposed Land tax on local governments.</w:t>
      </w:r>
    </w:p>
  </w:footnote>
  <w:footnote w:id="5">
    <w:p w:rsidR="007C54FD" w:rsidRDefault="007C54FD" w:rsidP="0032262B">
      <w:pPr>
        <w:pStyle w:val="FootnoteText"/>
      </w:pPr>
      <w:r>
        <w:rPr>
          <w:rStyle w:val="FootnoteReference"/>
        </w:rPr>
        <w:footnoteRef/>
      </w:r>
      <w:r>
        <w:t xml:space="preserve"> </w:t>
      </w:r>
      <w:r>
        <w:tab/>
        <w:t>A land owner’s value of taxable land holding was the total value of their land holdings less any exempt land holdings (such as their primary principal place of residence).</w:t>
      </w:r>
    </w:p>
  </w:footnote>
  <w:footnote w:id="6">
    <w:p w:rsidR="007C54FD" w:rsidRDefault="007C54FD" w:rsidP="0032262B">
      <w:pPr>
        <w:pStyle w:val="FootnoteText"/>
      </w:pPr>
      <w:r>
        <w:rPr>
          <w:rStyle w:val="FootnoteReference"/>
        </w:rPr>
        <w:footnoteRef/>
      </w:r>
      <w:r>
        <w:t xml:space="preserve"> </w:t>
      </w:r>
      <w:r>
        <w:tab/>
        <w:t>Adjustments are made (by States and the Commission) to SRO data to improve its comparability. The need for adjustments is the reason for the Commission’s concerns about the reliability of SRO data.</w:t>
      </w:r>
    </w:p>
  </w:footnote>
  <w:footnote w:id="7">
    <w:p w:rsidR="007C54FD" w:rsidRDefault="007C54FD" w:rsidP="0032262B">
      <w:pPr>
        <w:pStyle w:val="FootnoteText"/>
      </w:pPr>
      <w:r>
        <w:rPr>
          <w:rStyle w:val="FootnoteReference"/>
        </w:rPr>
        <w:footnoteRef/>
      </w:r>
      <w:r>
        <w:t xml:space="preserve"> </w:t>
      </w:r>
      <w:r>
        <w:tab/>
      </w:r>
      <w:r w:rsidRPr="009E056F">
        <w:rPr>
          <w:i/>
        </w:rPr>
        <w:t>Australia’s future tax system</w:t>
      </w:r>
      <w:r>
        <w:t>, Part 2 Detailed Analysis, Volume 2, Section E-1 User charging and taxation, page 325.</w:t>
      </w:r>
    </w:p>
  </w:footnote>
  <w:footnote w:id="8">
    <w:p w:rsidR="007C54FD" w:rsidRDefault="007C54FD" w:rsidP="0032262B">
      <w:pPr>
        <w:pStyle w:val="FootnoteText"/>
      </w:pPr>
      <w:r>
        <w:rPr>
          <w:rStyle w:val="FootnoteReference"/>
        </w:rPr>
        <w:footnoteRef/>
      </w:r>
      <w:r>
        <w:t xml:space="preserve"> </w:t>
      </w:r>
      <w:r>
        <w:tab/>
        <w:t>Western Australia’s submission to the Commonwealth Grants Commission’s 2020 Methodology Review, pages 18 and 19.</w:t>
      </w:r>
    </w:p>
  </w:footnote>
  <w:footnote w:id="9">
    <w:p w:rsidR="007C54FD" w:rsidRDefault="007C54FD" w:rsidP="0032262B">
      <w:pPr>
        <w:pStyle w:val="FootnoteText"/>
      </w:pPr>
      <w:r>
        <w:rPr>
          <w:rStyle w:val="FootnoteReference"/>
        </w:rPr>
        <w:footnoteRef/>
      </w:r>
      <w:r>
        <w:t xml:space="preserve"> </w:t>
      </w:r>
      <w:r>
        <w:tab/>
        <w:t xml:space="preserve">CGC 2017-21, </w:t>
      </w:r>
      <w:r w:rsidRPr="00CC7168">
        <w:rPr>
          <w:i/>
        </w:rPr>
        <w:t>The principle of HFE and its implementation</w:t>
      </w:r>
      <w:r>
        <w:rPr>
          <w:i/>
        </w:rPr>
        <w:t xml:space="preserve"> for the 2020 Review</w:t>
      </w:r>
      <w:r>
        <w:t>, paragraph 2.23.</w:t>
      </w:r>
    </w:p>
  </w:footnote>
  <w:footnote w:id="10">
    <w:p w:rsidR="007C54FD" w:rsidRDefault="007C54FD" w:rsidP="0032262B">
      <w:pPr>
        <w:pStyle w:val="FootnoteText"/>
      </w:pPr>
      <w:r>
        <w:rPr>
          <w:rStyle w:val="FootnoteReference"/>
        </w:rPr>
        <w:footnoteRef/>
      </w:r>
      <w:r>
        <w:t xml:space="preserve"> </w:t>
      </w:r>
      <w:r>
        <w:tab/>
        <w:t>Ibid, paragraph 2.48.</w:t>
      </w:r>
    </w:p>
  </w:footnote>
  <w:footnote w:id="11">
    <w:p w:rsidR="007C54FD" w:rsidRDefault="007C54FD">
      <w:pPr>
        <w:pStyle w:val="FootnoteText"/>
      </w:pPr>
      <w:r>
        <w:rPr>
          <w:rStyle w:val="FootnoteReference"/>
        </w:rPr>
        <w:footnoteRef/>
      </w:r>
      <w:r>
        <w:t xml:space="preserve"> </w:t>
      </w:r>
      <w:r>
        <w:tab/>
        <w:t xml:space="preserve">Government of South Australia, </w:t>
      </w:r>
      <w:r w:rsidRPr="00E0681C">
        <w:rPr>
          <w:i/>
        </w:rPr>
        <w:t>State Tax Review Discussion Paper</w:t>
      </w:r>
      <w:r w:rsidR="00E0681C">
        <w:t xml:space="preserve">, </w:t>
      </w:r>
      <w:r>
        <w:t>February 2015, page 45.</w:t>
      </w:r>
    </w:p>
  </w:footnote>
  <w:footnote w:id="12">
    <w:p w:rsidR="007C54FD" w:rsidRDefault="007C54FD" w:rsidP="0032262B">
      <w:pPr>
        <w:pStyle w:val="FootnoteText"/>
      </w:pPr>
      <w:r>
        <w:rPr>
          <w:rStyle w:val="FootnoteReference"/>
        </w:rPr>
        <w:footnoteRef/>
      </w:r>
      <w:r>
        <w:t xml:space="preserve"> </w:t>
      </w:r>
      <w:r>
        <w:tab/>
        <w:t>To avoid double taxation, individuals are able to claim any land tax paid on land held jointly as a credit towards their individual assessment.</w:t>
      </w:r>
    </w:p>
  </w:footnote>
  <w:footnote w:id="13">
    <w:p w:rsidR="007C54FD" w:rsidRDefault="007C54FD" w:rsidP="00163DD4">
      <w:pPr>
        <w:pStyle w:val="FootnoteText"/>
      </w:pPr>
      <w:r>
        <w:rPr>
          <w:rStyle w:val="FootnoteReference"/>
        </w:rPr>
        <w:footnoteRef/>
      </w:r>
      <w:r>
        <w:t xml:space="preserve"> </w:t>
      </w:r>
      <w:r>
        <w:tab/>
        <w:t>New South Wales has a surcharge of 2% on foreign owners, having increased from 0.75% on 1 July 2017. Foreign owners are not allowed to claim a tax free threshold or an exemption for a principal place of residence. New South Wales applies its surcharge to residential land. Victoria has an absentee owner surcharge of 1.5%, having increased from 0.5% on 1 January 2017. Victoria applies its surcharge to all land. Queensland has a 1.5% absentee owner surcharge, which it introduced on 1 July 2017. Queensland applies its surcharge to all land.</w:t>
      </w:r>
    </w:p>
  </w:footnote>
  <w:footnote w:id="14">
    <w:p w:rsidR="007C54FD" w:rsidRDefault="007C54FD" w:rsidP="0032676A">
      <w:pPr>
        <w:pStyle w:val="FootnoteText"/>
      </w:pPr>
      <w:r>
        <w:rPr>
          <w:rStyle w:val="FootnoteReference"/>
        </w:rPr>
        <w:footnoteRef/>
      </w:r>
      <w:r>
        <w:t xml:space="preserve"> </w:t>
      </w:r>
      <w:r>
        <w:tab/>
        <w:t xml:space="preserve">ABS, </w:t>
      </w:r>
      <w:r w:rsidRPr="00A536DE">
        <w:rPr>
          <w:i/>
        </w:rPr>
        <w:t xml:space="preserve">Australian </w:t>
      </w:r>
      <w:r>
        <w:rPr>
          <w:i/>
        </w:rPr>
        <w:t xml:space="preserve">System of </w:t>
      </w:r>
      <w:r w:rsidRPr="00A536DE">
        <w:rPr>
          <w:i/>
        </w:rPr>
        <w:t>National Accounts</w:t>
      </w:r>
      <w:r>
        <w:t xml:space="preserve">, Cat No 5204.0. </w:t>
      </w:r>
    </w:p>
  </w:footnote>
  <w:footnote w:id="15">
    <w:p w:rsidR="007C54FD" w:rsidRDefault="007C54FD" w:rsidP="00D81FCE">
      <w:pPr>
        <w:pStyle w:val="FootnoteText"/>
      </w:pPr>
      <w:r>
        <w:rPr>
          <w:rStyle w:val="FootnoteReference"/>
        </w:rPr>
        <w:footnoteRef/>
      </w:r>
      <w:r>
        <w:t xml:space="preserve"> </w:t>
      </w:r>
      <w:r>
        <w:tab/>
        <w:t>The Commission last used VG data as the source of its land values in the 2009 Update. It used ABS data on the proportion of private renters in each State to remove principal places of residence.</w:t>
      </w:r>
    </w:p>
  </w:footnote>
  <w:footnote w:id="16">
    <w:p w:rsidR="007C54FD" w:rsidRDefault="007C54FD" w:rsidP="0032262B">
      <w:pPr>
        <w:pStyle w:val="FootnoteText"/>
      </w:pPr>
      <w:r>
        <w:rPr>
          <w:rStyle w:val="FootnoteReference"/>
        </w:rPr>
        <w:footnoteRef/>
      </w:r>
      <w:r>
        <w:t xml:space="preserve"> </w:t>
      </w:r>
      <w:r>
        <w:tab/>
        <w:t>The Commission assessed a discount because it accepted SRO data were affected by State policies and because it asked three States to adjust their SRO data to reflect a different treatment of jointly held properties.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07"/>
    <w:rsid w:val="000061C3"/>
    <w:rsid w:val="000138A8"/>
    <w:rsid w:val="00016FE0"/>
    <w:rsid w:val="00022EA9"/>
    <w:rsid w:val="00024745"/>
    <w:rsid w:val="00032F41"/>
    <w:rsid w:val="00037048"/>
    <w:rsid w:val="0004123E"/>
    <w:rsid w:val="00041748"/>
    <w:rsid w:val="00041E84"/>
    <w:rsid w:val="000424EA"/>
    <w:rsid w:val="00056373"/>
    <w:rsid w:val="00061111"/>
    <w:rsid w:val="000624BB"/>
    <w:rsid w:val="000648E8"/>
    <w:rsid w:val="00093796"/>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3599"/>
    <w:rsid w:val="001441DA"/>
    <w:rsid w:val="00147115"/>
    <w:rsid w:val="001477CE"/>
    <w:rsid w:val="00163DD4"/>
    <w:rsid w:val="0016723A"/>
    <w:rsid w:val="00170DC9"/>
    <w:rsid w:val="00171A05"/>
    <w:rsid w:val="00172F3A"/>
    <w:rsid w:val="001730FD"/>
    <w:rsid w:val="00173798"/>
    <w:rsid w:val="00173BE6"/>
    <w:rsid w:val="00173E72"/>
    <w:rsid w:val="001807C0"/>
    <w:rsid w:val="001811DE"/>
    <w:rsid w:val="00187145"/>
    <w:rsid w:val="001A4336"/>
    <w:rsid w:val="001B0110"/>
    <w:rsid w:val="001B3048"/>
    <w:rsid w:val="001B696E"/>
    <w:rsid w:val="001B6A56"/>
    <w:rsid w:val="001C469B"/>
    <w:rsid w:val="001C644D"/>
    <w:rsid w:val="001C6A71"/>
    <w:rsid w:val="001D638B"/>
    <w:rsid w:val="001D6DFA"/>
    <w:rsid w:val="001E6180"/>
    <w:rsid w:val="001E674B"/>
    <w:rsid w:val="001E68FC"/>
    <w:rsid w:val="001E72B6"/>
    <w:rsid w:val="001F4F5A"/>
    <w:rsid w:val="00202FAD"/>
    <w:rsid w:val="00204026"/>
    <w:rsid w:val="00212948"/>
    <w:rsid w:val="00217839"/>
    <w:rsid w:val="00225A3B"/>
    <w:rsid w:val="0023081D"/>
    <w:rsid w:val="00232F19"/>
    <w:rsid w:val="0023329C"/>
    <w:rsid w:val="00236DC0"/>
    <w:rsid w:val="002373A2"/>
    <w:rsid w:val="00242517"/>
    <w:rsid w:val="0024260B"/>
    <w:rsid w:val="0024401F"/>
    <w:rsid w:val="0024569B"/>
    <w:rsid w:val="00255B5A"/>
    <w:rsid w:val="002568D0"/>
    <w:rsid w:val="002671A2"/>
    <w:rsid w:val="00267496"/>
    <w:rsid w:val="002700A3"/>
    <w:rsid w:val="00275B68"/>
    <w:rsid w:val="002839F7"/>
    <w:rsid w:val="002845EA"/>
    <w:rsid w:val="00286EBE"/>
    <w:rsid w:val="00293A1B"/>
    <w:rsid w:val="00295B70"/>
    <w:rsid w:val="002A2A08"/>
    <w:rsid w:val="002A2D93"/>
    <w:rsid w:val="002A4E42"/>
    <w:rsid w:val="002A77C3"/>
    <w:rsid w:val="002B10B0"/>
    <w:rsid w:val="002B169C"/>
    <w:rsid w:val="002B6EFD"/>
    <w:rsid w:val="002B6F33"/>
    <w:rsid w:val="002B79F0"/>
    <w:rsid w:val="002B7F3E"/>
    <w:rsid w:val="002C1D9C"/>
    <w:rsid w:val="002C1EDE"/>
    <w:rsid w:val="002C366F"/>
    <w:rsid w:val="002C4CA9"/>
    <w:rsid w:val="002D2270"/>
    <w:rsid w:val="002E25A8"/>
    <w:rsid w:val="002F01D2"/>
    <w:rsid w:val="002F04DE"/>
    <w:rsid w:val="002F1CD3"/>
    <w:rsid w:val="002F6E28"/>
    <w:rsid w:val="002F7E68"/>
    <w:rsid w:val="00302E5E"/>
    <w:rsid w:val="00307DEF"/>
    <w:rsid w:val="00311D33"/>
    <w:rsid w:val="00313664"/>
    <w:rsid w:val="00314F90"/>
    <w:rsid w:val="0032262B"/>
    <w:rsid w:val="0032676A"/>
    <w:rsid w:val="0033102E"/>
    <w:rsid w:val="00331401"/>
    <w:rsid w:val="00333234"/>
    <w:rsid w:val="00335ED1"/>
    <w:rsid w:val="00337EF8"/>
    <w:rsid w:val="00342A60"/>
    <w:rsid w:val="0034379D"/>
    <w:rsid w:val="0034646D"/>
    <w:rsid w:val="00347BE5"/>
    <w:rsid w:val="003522E0"/>
    <w:rsid w:val="0035267F"/>
    <w:rsid w:val="0035580D"/>
    <w:rsid w:val="003639FB"/>
    <w:rsid w:val="00363BF7"/>
    <w:rsid w:val="00382AE5"/>
    <w:rsid w:val="003929D2"/>
    <w:rsid w:val="00393E3E"/>
    <w:rsid w:val="00393FA5"/>
    <w:rsid w:val="003A27BB"/>
    <w:rsid w:val="003B673D"/>
    <w:rsid w:val="003C2577"/>
    <w:rsid w:val="003C4448"/>
    <w:rsid w:val="003D22D2"/>
    <w:rsid w:val="003D3D91"/>
    <w:rsid w:val="003D4708"/>
    <w:rsid w:val="003D477A"/>
    <w:rsid w:val="003E6615"/>
    <w:rsid w:val="003E79F9"/>
    <w:rsid w:val="003F12E9"/>
    <w:rsid w:val="003F59F4"/>
    <w:rsid w:val="00404DCD"/>
    <w:rsid w:val="004077D6"/>
    <w:rsid w:val="004121E7"/>
    <w:rsid w:val="00414E51"/>
    <w:rsid w:val="00420F04"/>
    <w:rsid w:val="00420F29"/>
    <w:rsid w:val="00423099"/>
    <w:rsid w:val="00424E79"/>
    <w:rsid w:val="0042661C"/>
    <w:rsid w:val="004274B3"/>
    <w:rsid w:val="00443EC1"/>
    <w:rsid w:val="00453264"/>
    <w:rsid w:val="00462B54"/>
    <w:rsid w:val="00463064"/>
    <w:rsid w:val="00472461"/>
    <w:rsid w:val="004809B8"/>
    <w:rsid w:val="004821B9"/>
    <w:rsid w:val="00491D88"/>
    <w:rsid w:val="00492C30"/>
    <w:rsid w:val="0049605C"/>
    <w:rsid w:val="004965F7"/>
    <w:rsid w:val="004A5EE6"/>
    <w:rsid w:val="004A7048"/>
    <w:rsid w:val="004B0A0A"/>
    <w:rsid w:val="004B1C4B"/>
    <w:rsid w:val="004B60CB"/>
    <w:rsid w:val="004C1CB5"/>
    <w:rsid w:val="004E769A"/>
    <w:rsid w:val="00500ACD"/>
    <w:rsid w:val="00504061"/>
    <w:rsid w:val="00505BAE"/>
    <w:rsid w:val="00506956"/>
    <w:rsid w:val="00515380"/>
    <w:rsid w:val="005176CA"/>
    <w:rsid w:val="00517BEC"/>
    <w:rsid w:val="00532D10"/>
    <w:rsid w:val="00537A77"/>
    <w:rsid w:val="00541A14"/>
    <w:rsid w:val="00543F9C"/>
    <w:rsid w:val="00546D39"/>
    <w:rsid w:val="00550E84"/>
    <w:rsid w:val="00551368"/>
    <w:rsid w:val="005577B0"/>
    <w:rsid w:val="00562084"/>
    <w:rsid w:val="005675FC"/>
    <w:rsid w:val="00570EED"/>
    <w:rsid w:val="005716FC"/>
    <w:rsid w:val="00575DEF"/>
    <w:rsid w:val="00583A33"/>
    <w:rsid w:val="005867D2"/>
    <w:rsid w:val="00592B45"/>
    <w:rsid w:val="005963CC"/>
    <w:rsid w:val="00596E19"/>
    <w:rsid w:val="005A241E"/>
    <w:rsid w:val="005A6FED"/>
    <w:rsid w:val="005B1BC4"/>
    <w:rsid w:val="005B6894"/>
    <w:rsid w:val="005B7121"/>
    <w:rsid w:val="005C13B2"/>
    <w:rsid w:val="005C27E3"/>
    <w:rsid w:val="005C37CB"/>
    <w:rsid w:val="005C459C"/>
    <w:rsid w:val="005D1A9F"/>
    <w:rsid w:val="005D4F4C"/>
    <w:rsid w:val="005D52FA"/>
    <w:rsid w:val="005E266F"/>
    <w:rsid w:val="005E5734"/>
    <w:rsid w:val="005E5805"/>
    <w:rsid w:val="005E73CE"/>
    <w:rsid w:val="005F07DC"/>
    <w:rsid w:val="005F64FB"/>
    <w:rsid w:val="0060251E"/>
    <w:rsid w:val="00602DDE"/>
    <w:rsid w:val="00611737"/>
    <w:rsid w:val="00612904"/>
    <w:rsid w:val="00613808"/>
    <w:rsid w:val="00614DE8"/>
    <w:rsid w:val="00622388"/>
    <w:rsid w:val="00622669"/>
    <w:rsid w:val="00622FE1"/>
    <w:rsid w:val="00625CE5"/>
    <w:rsid w:val="00635027"/>
    <w:rsid w:val="00644A7B"/>
    <w:rsid w:val="006556D9"/>
    <w:rsid w:val="00661C46"/>
    <w:rsid w:val="006652D3"/>
    <w:rsid w:val="00667694"/>
    <w:rsid w:val="00667CF3"/>
    <w:rsid w:val="006769C4"/>
    <w:rsid w:val="00677627"/>
    <w:rsid w:val="00677BD5"/>
    <w:rsid w:val="0068025E"/>
    <w:rsid w:val="00693C87"/>
    <w:rsid w:val="006A05C7"/>
    <w:rsid w:val="006A607B"/>
    <w:rsid w:val="006A6E27"/>
    <w:rsid w:val="006A72B0"/>
    <w:rsid w:val="006B3E4D"/>
    <w:rsid w:val="006C52B9"/>
    <w:rsid w:val="006D1DFE"/>
    <w:rsid w:val="006E6BC2"/>
    <w:rsid w:val="006E77BB"/>
    <w:rsid w:val="0070150E"/>
    <w:rsid w:val="00705DB8"/>
    <w:rsid w:val="00713225"/>
    <w:rsid w:val="0072512A"/>
    <w:rsid w:val="00731EE6"/>
    <w:rsid w:val="007355A6"/>
    <w:rsid w:val="00740A71"/>
    <w:rsid w:val="007477C5"/>
    <w:rsid w:val="00747938"/>
    <w:rsid w:val="00762AFB"/>
    <w:rsid w:val="00765BA8"/>
    <w:rsid w:val="00766007"/>
    <w:rsid w:val="00770A26"/>
    <w:rsid w:val="007A1364"/>
    <w:rsid w:val="007A24A0"/>
    <w:rsid w:val="007A4AB2"/>
    <w:rsid w:val="007A5E68"/>
    <w:rsid w:val="007B1BF7"/>
    <w:rsid w:val="007C404B"/>
    <w:rsid w:val="007C4BAE"/>
    <w:rsid w:val="007C54FD"/>
    <w:rsid w:val="007C6F2E"/>
    <w:rsid w:val="007D1D3B"/>
    <w:rsid w:val="007D5960"/>
    <w:rsid w:val="007E114E"/>
    <w:rsid w:val="007E487F"/>
    <w:rsid w:val="007E4B2D"/>
    <w:rsid w:val="007E56C1"/>
    <w:rsid w:val="007E587D"/>
    <w:rsid w:val="007E6757"/>
    <w:rsid w:val="007E71E9"/>
    <w:rsid w:val="007F1873"/>
    <w:rsid w:val="007F1D06"/>
    <w:rsid w:val="007F70E0"/>
    <w:rsid w:val="008010D7"/>
    <w:rsid w:val="00803443"/>
    <w:rsid w:val="0080680D"/>
    <w:rsid w:val="00812C05"/>
    <w:rsid w:val="0081322A"/>
    <w:rsid w:val="00814FE3"/>
    <w:rsid w:val="008162AB"/>
    <w:rsid w:val="00843E6F"/>
    <w:rsid w:val="00846E4A"/>
    <w:rsid w:val="00851AF5"/>
    <w:rsid w:val="00851FB5"/>
    <w:rsid w:val="00854DAA"/>
    <w:rsid w:val="008634C9"/>
    <w:rsid w:val="008647DE"/>
    <w:rsid w:val="00864B95"/>
    <w:rsid w:val="008800D3"/>
    <w:rsid w:val="00886CDD"/>
    <w:rsid w:val="00890918"/>
    <w:rsid w:val="0089214D"/>
    <w:rsid w:val="00893C0D"/>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2523D"/>
    <w:rsid w:val="009360D7"/>
    <w:rsid w:val="009362C9"/>
    <w:rsid w:val="00942387"/>
    <w:rsid w:val="0094626F"/>
    <w:rsid w:val="009462D2"/>
    <w:rsid w:val="009652D5"/>
    <w:rsid w:val="009677F8"/>
    <w:rsid w:val="00971146"/>
    <w:rsid w:val="00972A9A"/>
    <w:rsid w:val="00991675"/>
    <w:rsid w:val="00992008"/>
    <w:rsid w:val="009943C0"/>
    <w:rsid w:val="00996409"/>
    <w:rsid w:val="00996D00"/>
    <w:rsid w:val="009A03DC"/>
    <w:rsid w:val="009A6CF3"/>
    <w:rsid w:val="009B43BF"/>
    <w:rsid w:val="009B4A2D"/>
    <w:rsid w:val="009B5A07"/>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1113"/>
    <w:rsid w:val="00A5327C"/>
    <w:rsid w:val="00A538F6"/>
    <w:rsid w:val="00A5721C"/>
    <w:rsid w:val="00A67913"/>
    <w:rsid w:val="00A81A94"/>
    <w:rsid w:val="00A85D0F"/>
    <w:rsid w:val="00A9681E"/>
    <w:rsid w:val="00AA007A"/>
    <w:rsid w:val="00AA35B4"/>
    <w:rsid w:val="00AB073E"/>
    <w:rsid w:val="00AB1A13"/>
    <w:rsid w:val="00AB4E9F"/>
    <w:rsid w:val="00AC210F"/>
    <w:rsid w:val="00AC319E"/>
    <w:rsid w:val="00AE3A1E"/>
    <w:rsid w:val="00AE734F"/>
    <w:rsid w:val="00AF0C39"/>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5D3E"/>
    <w:rsid w:val="00B62590"/>
    <w:rsid w:val="00B6729F"/>
    <w:rsid w:val="00B706E2"/>
    <w:rsid w:val="00B82627"/>
    <w:rsid w:val="00B90AA7"/>
    <w:rsid w:val="00B94335"/>
    <w:rsid w:val="00BA38F6"/>
    <w:rsid w:val="00BA65E5"/>
    <w:rsid w:val="00BB09DF"/>
    <w:rsid w:val="00BB3FC5"/>
    <w:rsid w:val="00BC2B3B"/>
    <w:rsid w:val="00BC4579"/>
    <w:rsid w:val="00BC5A15"/>
    <w:rsid w:val="00BD3D24"/>
    <w:rsid w:val="00C0018A"/>
    <w:rsid w:val="00C00905"/>
    <w:rsid w:val="00C035B5"/>
    <w:rsid w:val="00C11ABD"/>
    <w:rsid w:val="00C14FB2"/>
    <w:rsid w:val="00C176AC"/>
    <w:rsid w:val="00C21EF9"/>
    <w:rsid w:val="00C222F7"/>
    <w:rsid w:val="00C24839"/>
    <w:rsid w:val="00C27C23"/>
    <w:rsid w:val="00C41C84"/>
    <w:rsid w:val="00C554D4"/>
    <w:rsid w:val="00C566A1"/>
    <w:rsid w:val="00C61B02"/>
    <w:rsid w:val="00C61F1C"/>
    <w:rsid w:val="00C719A2"/>
    <w:rsid w:val="00C72165"/>
    <w:rsid w:val="00C83041"/>
    <w:rsid w:val="00C90B42"/>
    <w:rsid w:val="00C9475D"/>
    <w:rsid w:val="00C95056"/>
    <w:rsid w:val="00C951FD"/>
    <w:rsid w:val="00CA41AB"/>
    <w:rsid w:val="00CA7F28"/>
    <w:rsid w:val="00CB0768"/>
    <w:rsid w:val="00CB131F"/>
    <w:rsid w:val="00CB4DCD"/>
    <w:rsid w:val="00CB4F2D"/>
    <w:rsid w:val="00CC1690"/>
    <w:rsid w:val="00CC665A"/>
    <w:rsid w:val="00CE04A0"/>
    <w:rsid w:val="00CE34DC"/>
    <w:rsid w:val="00D07FB4"/>
    <w:rsid w:val="00D21FA8"/>
    <w:rsid w:val="00D22AEE"/>
    <w:rsid w:val="00D236B7"/>
    <w:rsid w:val="00D23E48"/>
    <w:rsid w:val="00D244BE"/>
    <w:rsid w:val="00D43096"/>
    <w:rsid w:val="00D46AB2"/>
    <w:rsid w:val="00D47815"/>
    <w:rsid w:val="00D52094"/>
    <w:rsid w:val="00D656EB"/>
    <w:rsid w:val="00D73CE3"/>
    <w:rsid w:val="00D771FD"/>
    <w:rsid w:val="00D7796D"/>
    <w:rsid w:val="00D81B18"/>
    <w:rsid w:val="00D81FCE"/>
    <w:rsid w:val="00D83541"/>
    <w:rsid w:val="00D93A16"/>
    <w:rsid w:val="00D9496D"/>
    <w:rsid w:val="00DA0768"/>
    <w:rsid w:val="00DA161A"/>
    <w:rsid w:val="00DA5A94"/>
    <w:rsid w:val="00DB2355"/>
    <w:rsid w:val="00DB3BB4"/>
    <w:rsid w:val="00DC0F02"/>
    <w:rsid w:val="00DC0F8D"/>
    <w:rsid w:val="00DC2284"/>
    <w:rsid w:val="00DC3CA4"/>
    <w:rsid w:val="00DE1C0E"/>
    <w:rsid w:val="00DE4578"/>
    <w:rsid w:val="00DF04EE"/>
    <w:rsid w:val="00DF3E35"/>
    <w:rsid w:val="00E03ED5"/>
    <w:rsid w:val="00E06243"/>
    <w:rsid w:val="00E0681C"/>
    <w:rsid w:val="00E07169"/>
    <w:rsid w:val="00E12E07"/>
    <w:rsid w:val="00E162A4"/>
    <w:rsid w:val="00E1688C"/>
    <w:rsid w:val="00E22665"/>
    <w:rsid w:val="00E30499"/>
    <w:rsid w:val="00E30B51"/>
    <w:rsid w:val="00E324BB"/>
    <w:rsid w:val="00E32FEE"/>
    <w:rsid w:val="00E377E8"/>
    <w:rsid w:val="00E43464"/>
    <w:rsid w:val="00E47A69"/>
    <w:rsid w:val="00E571BB"/>
    <w:rsid w:val="00E74435"/>
    <w:rsid w:val="00E758AD"/>
    <w:rsid w:val="00E77D4E"/>
    <w:rsid w:val="00E91860"/>
    <w:rsid w:val="00E954B7"/>
    <w:rsid w:val="00E96FDB"/>
    <w:rsid w:val="00EA107B"/>
    <w:rsid w:val="00EB4A21"/>
    <w:rsid w:val="00EB6D31"/>
    <w:rsid w:val="00EC06CC"/>
    <w:rsid w:val="00EC16F1"/>
    <w:rsid w:val="00ED05D6"/>
    <w:rsid w:val="00ED0C6F"/>
    <w:rsid w:val="00ED2FCC"/>
    <w:rsid w:val="00EE5F75"/>
    <w:rsid w:val="00EF2722"/>
    <w:rsid w:val="00EF6805"/>
    <w:rsid w:val="00F00508"/>
    <w:rsid w:val="00F01E52"/>
    <w:rsid w:val="00F042DC"/>
    <w:rsid w:val="00F04309"/>
    <w:rsid w:val="00F07099"/>
    <w:rsid w:val="00F105EA"/>
    <w:rsid w:val="00F11117"/>
    <w:rsid w:val="00F12541"/>
    <w:rsid w:val="00F22035"/>
    <w:rsid w:val="00F22D18"/>
    <w:rsid w:val="00F36C87"/>
    <w:rsid w:val="00F46927"/>
    <w:rsid w:val="00F55854"/>
    <w:rsid w:val="00F56813"/>
    <w:rsid w:val="00F70110"/>
    <w:rsid w:val="00F711DA"/>
    <w:rsid w:val="00F72C93"/>
    <w:rsid w:val="00F80A88"/>
    <w:rsid w:val="00F823F5"/>
    <w:rsid w:val="00F9170D"/>
    <w:rsid w:val="00F94368"/>
    <w:rsid w:val="00F9494C"/>
    <w:rsid w:val="00FA15C8"/>
    <w:rsid w:val="00FA2D86"/>
    <w:rsid w:val="00FA348C"/>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FootnoteChar">
    <w:name w:val="CGC Table Footnote Char"/>
    <w:basedOn w:val="DefaultParagraphFont"/>
    <w:link w:val="CGCTableFootnote"/>
    <w:rsid w:val="005D4F4C"/>
    <w:rPr>
      <w:sz w:val="20"/>
      <w:szCs w:val="24"/>
    </w:rPr>
  </w:style>
  <w:style w:type="character" w:customStyle="1" w:styleId="CGCTableHeadingChar">
    <w:name w:val="CGC Table Heading Char"/>
    <w:basedOn w:val="DefaultParagraphFont"/>
    <w:link w:val="CGCTableHeading"/>
    <w:rsid w:val="005D4F4C"/>
    <w:rPr>
      <w:b/>
      <w:sz w:val="24"/>
      <w:szCs w:val="20"/>
    </w:rPr>
  </w:style>
  <w:style w:type="character" w:customStyle="1" w:styleId="CGCTableStubChar">
    <w:name w:val="CGC Table Stub Char"/>
    <w:basedOn w:val="DefaultParagraphFont"/>
    <w:link w:val="CGCTableStub"/>
    <w:rsid w:val="005D4F4C"/>
    <w:rPr>
      <w:sz w:val="20"/>
      <w:szCs w:val="20"/>
    </w:rPr>
  </w:style>
  <w:style w:type="character" w:customStyle="1" w:styleId="TableRowNormalChar">
    <w:name w:val="TableRowNormal Char"/>
    <w:basedOn w:val="DefaultParagraphFont"/>
    <w:link w:val="TableRowNormal"/>
    <w:locked/>
    <w:rsid w:val="005D4F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3.0" TargetMode="Externa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cgc.gov.au"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Dermot.Doherty@cgc.gov.au" TargetMode="Externa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5705</Words>
  <Characters>32523</Characters>
  <Application>Microsoft Office Word</Application>
  <DocSecurity>0</DocSecurity>
  <Lines>271</Lines>
  <Paragraphs>76</Paragraphs>
  <ScaleCrop>false</ScaleCrop>
  <Company/>
  <LinksUpToDate>false</LinksUpToDate>
  <CharactersWithSpaces>38152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2018-04-18T04:33:00Z</dcterms:created>
  <dcterms:modified xsi:type="dcterms:W3CDTF">2018-04-24T04:06:00Z</dcterms:modified>
</cp:coreProperties>
</file>