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C77" w:rsidRPr="00970E6D" w:rsidRDefault="003B4C77" w:rsidP="003B4C77">
      <w:pPr>
        <w:tabs>
          <w:tab w:val="clear" w:pos="567"/>
        </w:tabs>
        <w:jc w:val="center"/>
        <w:rPr>
          <w:b/>
          <w:bCs/>
        </w:rPr>
      </w:pPr>
      <w:bookmarkStart w:id="0" w:name="Content"/>
      <w:bookmarkStart w:id="1" w:name="_Toc106707725"/>
      <w:bookmarkStart w:id="2" w:name="_Toc155675935"/>
      <w:bookmarkStart w:id="3" w:name="_Toc174415770"/>
      <w:bookmarkStart w:id="4" w:name="_Toc174415844"/>
      <w:bookmarkStart w:id="5" w:name="_Toc174415935"/>
      <w:bookmarkStart w:id="6" w:name="_Toc174416620"/>
      <w:bookmarkStart w:id="7" w:name="_Toc174416662"/>
      <w:bookmarkStart w:id="8" w:name="_Toc174416675"/>
      <w:bookmarkEnd w:id="0"/>
      <w:r w:rsidRPr="00970E6D">
        <w:rPr>
          <w:noProof/>
          <w:lang w:eastAsia="en-AU"/>
        </w:rPr>
        <w:drawing>
          <wp:inline distT="0" distB="0" distL="0" distR="0" wp14:anchorId="72E8BB0E" wp14:editId="655CFF85">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8"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3B4C77" w:rsidRPr="00970E6D" w:rsidRDefault="003B4C77" w:rsidP="003B4C77">
      <w:pPr>
        <w:tabs>
          <w:tab w:val="clear" w:pos="567"/>
        </w:tabs>
        <w:jc w:val="center"/>
        <w:rPr>
          <w:b/>
          <w:sz w:val="40"/>
          <w:szCs w:val="40"/>
        </w:rPr>
      </w:pPr>
    </w:p>
    <w:p w:rsidR="003B4C77" w:rsidRPr="00970E6D" w:rsidRDefault="003B4C77" w:rsidP="003B4C77">
      <w:pPr>
        <w:tabs>
          <w:tab w:val="clear" w:pos="567"/>
        </w:tabs>
        <w:jc w:val="center"/>
        <w:rPr>
          <w:b/>
          <w:sz w:val="40"/>
          <w:szCs w:val="40"/>
        </w:rPr>
      </w:pPr>
    </w:p>
    <w:p w:rsidR="003B4C77" w:rsidRPr="00970E6D" w:rsidRDefault="003B4C77" w:rsidP="003B4C77">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rsidR="003B4C77" w:rsidRPr="00970E6D" w:rsidRDefault="003B4C77" w:rsidP="003B4C77">
      <w:pPr>
        <w:tabs>
          <w:tab w:val="clear" w:pos="567"/>
        </w:tabs>
        <w:jc w:val="center"/>
        <w:rPr>
          <w:b/>
          <w:sz w:val="40"/>
          <w:szCs w:val="40"/>
        </w:rPr>
      </w:pPr>
    </w:p>
    <w:p w:rsidR="003B4C77" w:rsidRPr="00970E6D" w:rsidRDefault="003B4C77" w:rsidP="003B4C77">
      <w:pPr>
        <w:tabs>
          <w:tab w:val="clear" w:pos="567"/>
        </w:tabs>
        <w:jc w:val="center"/>
        <w:rPr>
          <w:b/>
          <w:sz w:val="40"/>
          <w:szCs w:val="40"/>
        </w:rPr>
      </w:pPr>
    </w:p>
    <w:p w:rsidR="003B4C77" w:rsidRPr="00970E6D" w:rsidRDefault="003B4C77" w:rsidP="003B4C77">
      <w:pPr>
        <w:tabs>
          <w:tab w:val="clear" w:pos="567"/>
        </w:tabs>
        <w:jc w:val="center"/>
        <w:rPr>
          <w:b/>
          <w:sz w:val="40"/>
          <w:szCs w:val="40"/>
        </w:rPr>
      </w:pPr>
    </w:p>
    <w:p w:rsidR="003B4C77" w:rsidRPr="00970E6D" w:rsidRDefault="003B4C77" w:rsidP="003B4C77">
      <w:pPr>
        <w:tabs>
          <w:tab w:val="clear" w:pos="567"/>
        </w:tabs>
        <w:jc w:val="center"/>
        <w:rPr>
          <w:b/>
          <w:sz w:val="40"/>
          <w:szCs w:val="40"/>
        </w:rPr>
      </w:pPr>
    </w:p>
    <w:p w:rsidR="003B4C77" w:rsidRPr="00970E6D" w:rsidRDefault="003B4C77" w:rsidP="003B4C77">
      <w:pPr>
        <w:tabs>
          <w:tab w:val="clear" w:pos="567"/>
        </w:tabs>
        <w:jc w:val="center"/>
        <w:rPr>
          <w:bCs/>
          <w:sz w:val="40"/>
          <w:szCs w:val="40"/>
        </w:rPr>
      </w:pPr>
      <w:r>
        <w:rPr>
          <w:b/>
          <w:sz w:val="40"/>
          <w:szCs w:val="40"/>
        </w:rPr>
        <w:t xml:space="preserve">OVERVIEW TO THE 2020 REVIEW </w:t>
      </w:r>
      <w:r w:rsidR="00A96CD9">
        <w:rPr>
          <w:b/>
          <w:sz w:val="40"/>
          <w:szCs w:val="40"/>
        </w:rPr>
        <w:t xml:space="preserve">STAFF </w:t>
      </w:r>
      <w:r>
        <w:rPr>
          <w:b/>
          <w:sz w:val="40"/>
          <w:szCs w:val="40"/>
        </w:rPr>
        <w:t>DRAFT ASSESSMENT PAPERS</w:t>
      </w:r>
    </w:p>
    <w:p w:rsidR="003B4C77" w:rsidRPr="00970E6D" w:rsidRDefault="003B4C77" w:rsidP="003B4C77">
      <w:pPr>
        <w:tabs>
          <w:tab w:val="clear" w:pos="567"/>
        </w:tabs>
        <w:jc w:val="center"/>
        <w:rPr>
          <w:b/>
          <w:sz w:val="40"/>
          <w:szCs w:val="40"/>
        </w:rPr>
      </w:pPr>
    </w:p>
    <w:p w:rsidR="003B4C77" w:rsidRPr="00970E6D" w:rsidRDefault="003B4C77" w:rsidP="003B4C77">
      <w:pPr>
        <w:tabs>
          <w:tab w:val="clear" w:pos="567"/>
        </w:tabs>
        <w:jc w:val="center"/>
        <w:rPr>
          <w:b/>
          <w:sz w:val="40"/>
          <w:szCs w:val="40"/>
        </w:rPr>
      </w:pPr>
    </w:p>
    <w:p w:rsidR="003B4C77" w:rsidRPr="00970E6D" w:rsidRDefault="003B4C77" w:rsidP="003B4C77">
      <w:pPr>
        <w:tabs>
          <w:tab w:val="clear" w:pos="567"/>
        </w:tabs>
        <w:jc w:val="center"/>
        <w:rPr>
          <w:b/>
          <w:sz w:val="40"/>
          <w:szCs w:val="40"/>
        </w:rPr>
      </w:pPr>
    </w:p>
    <w:p w:rsidR="003B4C77" w:rsidRPr="00970E6D" w:rsidRDefault="003B4C77" w:rsidP="003B4C77">
      <w:pPr>
        <w:tabs>
          <w:tab w:val="clear" w:pos="567"/>
        </w:tabs>
        <w:jc w:val="center"/>
        <w:rPr>
          <w:b/>
          <w:sz w:val="40"/>
          <w:szCs w:val="40"/>
        </w:rPr>
      </w:pPr>
    </w:p>
    <w:p w:rsidR="003B4C77" w:rsidRPr="00970E6D" w:rsidRDefault="00700F69" w:rsidP="003B4C77">
      <w:pPr>
        <w:tabs>
          <w:tab w:val="clear" w:pos="567"/>
        </w:tabs>
        <w:jc w:val="center"/>
        <w:rPr>
          <w:b/>
          <w:sz w:val="40"/>
          <w:szCs w:val="40"/>
        </w:rPr>
      </w:pPr>
      <w:r>
        <w:rPr>
          <w:b/>
          <w:sz w:val="40"/>
          <w:szCs w:val="40"/>
        </w:rPr>
        <w:t xml:space="preserve">STAFF </w:t>
      </w:r>
      <w:r w:rsidR="003B4C77">
        <w:rPr>
          <w:b/>
          <w:sz w:val="40"/>
          <w:szCs w:val="40"/>
        </w:rPr>
        <w:t>DRAFT ASSESSMENT PAPER</w:t>
      </w:r>
      <w:r w:rsidR="003B4C77">
        <w:rPr>
          <w:b/>
          <w:sz w:val="40"/>
          <w:szCs w:val="40"/>
        </w:rPr>
        <w:br/>
        <w:t>CGC 20</w:t>
      </w:r>
      <w:r w:rsidR="003B4C77" w:rsidRPr="00970E6D">
        <w:rPr>
          <w:b/>
          <w:sz w:val="40"/>
          <w:szCs w:val="40"/>
        </w:rPr>
        <w:t>1</w:t>
      </w:r>
      <w:r w:rsidR="003B4C77">
        <w:rPr>
          <w:b/>
          <w:sz w:val="40"/>
          <w:szCs w:val="40"/>
        </w:rPr>
        <w:t>8</w:t>
      </w:r>
      <w:r w:rsidR="003B4C77" w:rsidRPr="00970E6D">
        <w:rPr>
          <w:b/>
          <w:sz w:val="40"/>
          <w:szCs w:val="40"/>
        </w:rPr>
        <w:t>-</w:t>
      </w:r>
      <w:r w:rsidR="003B4C77">
        <w:rPr>
          <w:b/>
          <w:sz w:val="40"/>
          <w:szCs w:val="40"/>
        </w:rPr>
        <w:t>01/</w:t>
      </w:r>
      <w:r w:rsidR="001339B0">
        <w:rPr>
          <w:b/>
          <w:sz w:val="40"/>
          <w:szCs w:val="40"/>
        </w:rPr>
        <w:t>01</w:t>
      </w:r>
      <w:r w:rsidR="003B4C77">
        <w:rPr>
          <w:b/>
          <w:sz w:val="40"/>
          <w:szCs w:val="40"/>
        </w:rPr>
        <w:t>-S</w:t>
      </w:r>
    </w:p>
    <w:p w:rsidR="003B4C77" w:rsidRPr="00970E6D" w:rsidRDefault="003B4C77" w:rsidP="003B4C77">
      <w:pPr>
        <w:tabs>
          <w:tab w:val="clear" w:pos="567"/>
        </w:tabs>
        <w:jc w:val="center"/>
        <w:rPr>
          <w:b/>
          <w:sz w:val="40"/>
          <w:szCs w:val="40"/>
        </w:rPr>
      </w:pPr>
    </w:p>
    <w:p w:rsidR="003B4C77" w:rsidRPr="00970E6D" w:rsidRDefault="003B4C77" w:rsidP="003B4C77">
      <w:pPr>
        <w:tabs>
          <w:tab w:val="clear" w:pos="567"/>
        </w:tabs>
        <w:jc w:val="center"/>
        <w:rPr>
          <w:b/>
          <w:sz w:val="40"/>
          <w:szCs w:val="40"/>
        </w:rPr>
      </w:pPr>
    </w:p>
    <w:p w:rsidR="003B4C77" w:rsidRPr="00970E6D" w:rsidRDefault="003B4C77" w:rsidP="003B4C77">
      <w:pPr>
        <w:tabs>
          <w:tab w:val="clear" w:pos="567"/>
        </w:tabs>
        <w:jc w:val="center"/>
        <w:rPr>
          <w:sz w:val="40"/>
          <w:szCs w:val="40"/>
        </w:rPr>
      </w:pPr>
    </w:p>
    <w:p w:rsidR="003B4C77" w:rsidRPr="00970E6D" w:rsidRDefault="003B4C77" w:rsidP="003B4C77">
      <w:pPr>
        <w:tabs>
          <w:tab w:val="clear" w:pos="567"/>
        </w:tabs>
        <w:jc w:val="right"/>
        <w:rPr>
          <w:b/>
          <w:sz w:val="28"/>
          <w:szCs w:val="28"/>
        </w:rPr>
      </w:pPr>
      <w:r>
        <w:rPr>
          <w:b/>
          <w:sz w:val="28"/>
          <w:szCs w:val="28"/>
        </w:rPr>
        <w:t>APRIL 2018</w:t>
      </w:r>
    </w:p>
    <w:p w:rsidR="003B4C77" w:rsidRPr="00970E6D" w:rsidRDefault="003B4C77" w:rsidP="003B4C77">
      <w:pPr>
        <w:tabs>
          <w:tab w:val="clear" w:pos="567"/>
        </w:tabs>
      </w:pPr>
    </w:p>
    <w:p w:rsidR="003B4C77" w:rsidRPr="00970E6D" w:rsidRDefault="003B4C77" w:rsidP="003B4C77">
      <w:pPr>
        <w:tabs>
          <w:tab w:val="clear" w:pos="567"/>
        </w:tabs>
        <w:sectPr w:rsidR="003B4C77" w:rsidRPr="00970E6D" w:rsidSect="00BD0F62">
          <w:footerReference w:type="default" r:id="rId9"/>
          <w:pgSz w:w="11899" w:h="16838" w:code="9"/>
          <w:pgMar w:top="1701" w:right="1474" w:bottom="1701" w:left="1474" w:header="709" w:footer="709" w:gutter="0"/>
          <w:cols w:space="708"/>
          <w:titlePg/>
          <w:docGrid w:linePitch="299"/>
        </w:sectPr>
      </w:pPr>
    </w:p>
    <w:p w:rsidR="003B4C77" w:rsidRDefault="003B4C77" w:rsidP="003B4C77"/>
    <w:p w:rsidR="003B4C77" w:rsidRDefault="003B4C77" w:rsidP="003B4C77"/>
    <w:p w:rsidR="003B4C77" w:rsidRDefault="003B4C77" w:rsidP="003B4C77"/>
    <w:p w:rsidR="003B4C77" w:rsidRDefault="003B4C77" w:rsidP="003B4C77"/>
    <w:p w:rsidR="003B4C77" w:rsidRDefault="003B4C77" w:rsidP="003B4C77"/>
    <w:p w:rsidR="003B4C77" w:rsidRDefault="003B4C77" w:rsidP="003B4C77"/>
    <w:p w:rsidR="003B4C77" w:rsidRDefault="003B4C77" w:rsidP="003B4C77"/>
    <w:p w:rsidR="003B4C77" w:rsidRDefault="003B4C77" w:rsidP="003B4C77"/>
    <w:p w:rsidR="003B4C77" w:rsidRDefault="003B4C77" w:rsidP="003B4C77"/>
    <w:p w:rsidR="003B4C77" w:rsidRDefault="003B4C77" w:rsidP="003B4C77"/>
    <w:p w:rsidR="003B4C77" w:rsidRDefault="003B4C77" w:rsidP="003B4C77"/>
    <w:p w:rsidR="003B4C77" w:rsidRDefault="003B4C77" w:rsidP="003B4C77"/>
    <w:p w:rsidR="003B4C77" w:rsidRDefault="003B4C77" w:rsidP="003B4C77"/>
    <w:p w:rsidR="003B4C77" w:rsidRDefault="003B4C77" w:rsidP="003B4C77"/>
    <w:p w:rsidR="003B4C77" w:rsidRDefault="003B4C77" w:rsidP="003B4C77"/>
    <w:p w:rsidR="003B4C77" w:rsidRDefault="003B4C77" w:rsidP="003B4C77"/>
    <w:tbl>
      <w:tblPr>
        <w:tblStyle w:val="TableGrid"/>
        <w:tblW w:w="5000" w:type="pct"/>
        <w:tblLook w:val="04A0" w:firstRow="1" w:lastRow="0" w:firstColumn="1" w:lastColumn="0" w:noHBand="0" w:noVBand="1"/>
      </w:tblPr>
      <w:tblGrid>
        <w:gridCol w:w="2943"/>
        <w:gridCol w:w="6224"/>
      </w:tblGrid>
      <w:tr w:rsidR="003B4C77" w:rsidRPr="00970E6D" w:rsidTr="00BD0F62">
        <w:tc>
          <w:tcPr>
            <w:tcW w:w="1605" w:type="pct"/>
          </w:tcPr>
          <w:p w:rsidR="003B4C77" w:rsidRPr="00970E6D" w:rsidRDefault="003B4C77" w:rsidP="00BD0F62">
            <w:pPr>
              <w:tabs>
                <w:tab w:val="clear" w:pos="567"/>
              </w:tabs>
            </w:pPr>
            <w:r w:rsidRPr="00970E6D">
              <w:t>Paper issued</w:t>
            </w:r>
          </w:p>
        </w:tc>
        <w:tc>
          <w:tcPr>
            <w:tcW w:w="3395" w:type="pct"/>
          </w:tcPr>
          <w:p w:rsidR="003B4C77" w:rsidRPr="00970E6D" w:rsidRDefault="0020053C" w:rsidP="00BD0F62">
            <w:pPr>
              <w:tabs>
                <w:tab w:val="clear" w:pos="567"/>
              </w:tabs>
            </w:pPr>
            <w:r>
              <w:t>20</w:t>
            </w:r>
            <w:r w:rsidR="003B4C77" w:rsidRPr="00970E6D">
              <w:t xml:space="preserve"> </w:t>
            </w:r>
            <w:r w:rsidR="003B4C77">
              <w:t>April</w:t>
            </w:r>
            <w:r w:rsidR="003B4C77" w:rsidRPr="00970E6D">
              <w:t xml:space="preserve"> 20</w:t>
            </w:r>
            <w:r w:rsidR="003B4C77">
              <w:t>18</w:t>
            </w:r>
          </w:p>
        </w:tc>
      </w:tr>
      <w:tr w:rsidR="003B4C77" w:rsidRPr="004A541C" w:rsidTr="00BD0F62">
        <w:tc>
          <w:tcPr>
            <w:tcW w:w="1605" w:type="pct"/>
          </w:tcPr>
          <w:p w:rsidR="003B4C77" w:rsidRPr="00970E6D" w:rsidRDefault="003B4C77" w:rsidP="00BD0F62">
            <w:pPr>
              <w:tabs>
                <w:tab w:val="clear" w:pos="567"/>
              </w:tabs>
            </w:pPr>
            <w:r w:rsidRPr="00970E6D">
              <w:t>Commission contact officer</w:t>
            </w:r>
          </w:p>
        </w:tc>
        <w:tc>
          <w:tcPr>
            <w:tcW w:w="3395" w:type="pct"/>
          </w:tcPr>
          <w:p w:rsidR="003B4C77" w:rsidRPr="0020053C" w:rsidRDefault="0020053C" w:rsidP="001E719C">
            <w:pPr>
              <w:tabs>
                <w:tab w:val="clear" w:pos="567"/>
              </w:tabs>
              <w:rPr>
                <w:lang w:val="fr-CA"/>
              </w:rPr>
            </w:pPr>
            <w:r w:rsidRPr="0020053C">
              <w:rPr>
                <w:lang w:val="fr-CA"/>
              </w:rPr>
              <w:t>Marc Boisseau</w:t>
            </w:r>
            <w:r w:rsidR="003B4C77" w:rsidRPr="0020053C">
              <w:rPr>
                <w:lang w:val="fr-CA"/>
              </w:rPr>
              <w:t xml:space="preserve">, </w:t>
            </w:r>
            <w:r w:rsidR="001E719C" w:rsidRPr="001E719C">
              <w:rPr>
                <w:lang w:val="fr-CA"/>
              </w:rPr>
              <w:t>Marc.Boisseau@cgc.gov.au</w:t>
            </w:r>
            <w:r w:rsidR="003B4C77" w:rsidRPr="0020053C">
              <w:rPr>
                <w:lang w:val="fr-CA"/>
              </w:rPr>
              <w:t xml:space="preserve"> </w:t>
            </w:r>
          </w:p>
        </w:tc>
      </w:tr>
      <w:tr w:rsidR="003B4C77" w:rsidRPr="00970E6D" w:rsidTr="00BD0F62">
        <w:tc>
          <w:tcPr>
            <w:tcW w:w="1605" w:type="pct"/>
          </w:tcPr>
          <w:p w:rsidR="003B4C77" w:rsidRPr="00970E6D" w:rsidRDefault="003B4C77" w:rsidP="00BD0F62">
            <w:pPr>
              <w:tabs>
                <w:tab w:val="clear" w:pos="567"/>
              </w:tabs>
            </w:pPr>
            <w:r w:rsidRPr="00970E6D">
              <w:t>Submissions sought by</w:t>
            </w:r>
          </w:p>
        </w:tc>
        <w:tc>
          <w:tcPr>
            <w:tcW w:w="3395" w:type="pct"/>
          </w:tcPr>
          <w:p w:rsidR="005D7488" w:rsidRDefault="0020053C" w:rsidP="00BD0F62">
            <w:pPr>
              <w:tabs>
                <w:tab w:val="clear" w:pos="567"/>
              </w:tabs>
            </w:pPr>
            <w:r>
              <w:t>31 August</w:t>
            </w:r>
            <w:r w:rsidR="003B4C77" w:rsidRPr="00970E6D">
              <w:t xml:space="preserve"> 20</w:t>
            </w:r>
            <w:r>
              <w:t>18</w:t>
            </w:r>
            <w:r w:rsidR="003B4C77" w:rsidRPr="00970E6D">
              <w:t xml:space="preserve">.  </w:t>
            </w:r>
          </w:p>
          <w:p w:rsidR="003B4C77" w:rsidRPr="00970E6D" w:rsidRDefault="003B4C77" w:rsidP="00BD0F62">
            <w:pPr>
              <w:tabs>
                <w:tab w:val="clear" w:pos="567"/>
              </w:tabs>
            </w:pPr>
            <w:r w:rsidRPr="00970E6D">
              <w:t xml:space="preserve">Submissions should be emailed in Word format to </w:t>
            </w:r>
            <w:hyperlink r:id="rId10" w:history="1">
              <w:r w:rsidRPr="00970E6D">
                <w:rPr>
                  <w:rStyle w:val="Hyperlink"/>
                </w:rPr>
                <w:t>secretary@cgc.gov.au</w:t>
              </w:r>
            </w:hyperlink>
            <w:r w:rsidRPr="00970E6D">
              <w:t>.</w:t>
            </w:r>
          </w:p>
          <w:p w:rsidR="003B4C77" w:rsidRPr="00970E6D" w:rsidRDefault="003B4C77" w:rsidP="00BD0F62">
            <w:pPr>
              <w:tabs>
                <w:tab w:val="clear" w:pos="567"/>
              </w:tabs>
            </w:pPr>
            <w:r w:rsidRPr="00970E6D">
              <w:t xml:space="preserve">Submissions of more than </w:t>
            </w:r>
            <w:r>
              <w:t>10</w:t>
            </w:r>
            <w:r w:rsidRPr="00970E6D">
              <w:t xml:space="preserve"> pages in length should include a summary section.</w:t>
            </w:r>
          </w:p>
        </w:tc>
      </w:tr>
      <w:tr w:rsidR="003B4C77" w:rsidRPr="00970E6D" w:rsidTr="00BD0F62">
        <w:tblPrEx>
          <w:tblLook w:val="01E0" w:firstRow="1" w:lastRow="1" w:firstColumn="1" w:lastColumn="1" w:noHBand="0" w:noVBand="0"/>
        </w:tblPrEx>
        <w:tc>
          <w:tcPr>
            <w:tcW w:w="1605" w:type="pct"/>
            <w:tcBorders>
              <w:top w:val="single" w:sz="4" w:space="0" w:color="auto"/>
              <w:left w:val="single" w:sz="4" w:space="0" w:color="auto"/>
              <w:bottom w:val="single" w:sz="4" w:space="0" w:color="auto"/>
              <w:right w:val="single" w:sz="4" w:space="0" w:color="auto"/>
            </w:tcBorders>
          </w:tcPr>
          <w:p w:rsidR="003B4C77" w:rsidRPr="00970E6D" w:rsidRDefault="003B4C77" w:rsidP="00BD0F62">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3B4C77" w:rsidRPr="00CF1294" w:rsidRDefault="003B4C77" w:rsidP="00BD0F62">
            <w:pPr>
              <w:tabs>
                <w:tab w:val="clear" w:pos="567"/>
              </w:tabs>
            </w:pPr>
            <w:r w:rsidRPr="00CF1294">
              <w:t xml:space="preserve">It is the </w:t>
            </w:r>
            <w:r>
              <w:t>C</w:t>
            </w:r>
            <w:r w:rsidRPr="00CF1294">
              <w:t xml:space="preserve">ommission’s normal practice to make State submissions available on its website under the CC BY licence, allowing free use of content by third parties. </w:t>
            </w:r>
          </w:p>
          <w:p w:rsidR="003B4C77" w:rsidRPr="00CF1294" w:rsidRDefault="003B4C77" w:rsidP="00BD0F62">
            <w:pPr>
              <w:tabs>
                <w:tab w:val="clear" w:pos="567"/>
              </w:tabs>
            </w:pPr>
            <w:r w:rsidRPr="00CF1294">
              <w:rPr>
                <w:noProof/>
                <w:lang w:eastAsia="en-AU"/>
              </w:rPr>
              <w:drawing>
                <wp:inline distT="0" distB="0" distL="0" distR="0" wp14:anchorId="3BC37FB0" wp14:editId="56064BC4">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1"/>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3B4C77" w:rsidRPr="00CF1294" w:rsidRDefault="003B4C77" w:rsidP="00BD0F62">
            <w:pPr>
              <w:tabs>
                <w:tab w:val="clear" w:pos="567"/>
              </w:tabs>
            </w:pPr>
            <w:r w:rsidRPr="00CF1294">
              <w:t xml:space="preserve">Further information on the CC BY licence can be found </w:t>
            </w:r>
            <w:r w:rsidRPr="00EC79CF">
              <w:t xml:space="preserve">on the </w:t>
            </w:r>
            <w:hyperlink r:id="rId12" w:history="1">
              <w:r w:rsidRPr="00841145">
                <w:rPr>
                  <w:rStyle w:val="Hyperlink"/>
                </w:rPr>
                <w:t>Creative Commons website</w:t>
              </w:r>
            </w:hyperlink>
            <w:r w:rsidRPr="00EC79CF">
              <w:t xml:space="preserve"> </w:t>
            </w:r>
            <w:r>
              <w:t>(</w:t>
            </w:r>
            <w:r w:rsidRPr="00841145">
              <w:t>http://creativecommons.org</w:t>
            </w:r>
            <w:r>
              <w:t>).</w:t>
            </w:r>
            <w:r w:rsidRPr="00CF1294">
              <w:t xml:space="preserve"> </w:t>
            </w:r>
          </w:p>
          <w:p w:rsidR="003B4C77" w:rsidRPr="00970E6D" w:rsidRDefault="003B4C77" w:rsidP="00BD0F62">
            <w:pPr>
              <w:tabs>
                <w:tab w:val="clear" w:pos="567"/>
              </w:tabs>
            </w:pPr>
            <w:r w:rsidRPr="00CF1294">
              <w:t xml:space="preserve">Confidential material contained in submissions must be clearly identified or included in separate attachment/s, and details provided in the covering email. Identified confidential material will not be published on the </w:t>
            </w:r>
            <w:r w:rsidR="005063F9" w:rsidRPr="00CF1294">
              <w:t xml:space="preserve">Commission’s </w:t>
            </w:r>
            <w:r w:rsidRPr="00CF1294">
              <w:t>website.</w:t>
            </w:r>
          </w:p>
        </w:tc>
      </w:tr>
    </w:tbl>
    <w:p w:rsidR="003B4C77" w:rsidRDefault="003B4C77" w:rsidP="003B4C77"/>
    <w:p w:rsidR="003B4C77" w:rsidRDefault="003B4C77" w:rsidP="003B4C77">
      <w:pPr>
        <w:sectPr w:rsidR="003B4C77" w:rsidSect="00BD0F62">
          <w:footerReference w:type="default" r:id="rId13"/>
          <w:footerReference w:type="first" r:id="rId14"/>
          <w:pgSz w:w="11899" w:h="16838" w:code="9"/>
          <w:pgMar w:top="1701" w:right="1474" w:bottom="1701" w:left="1474" w:header="709" w:footer="709" w:gutter="0"/>
          <w:pgNumType w:start="1"/>
          <w:cols w:space="708"/>
          <w:titlePg/>
          <w:docGrid w:linePitch="299"/>
        </w:sectPr>
      </w:pPr>
    </w:p>
    <w:p w:rsidR="005F3A8F" w:rsidRDefault="00307CE3" w:rsidP="003B4C77">
      <w:pPr>
        <w:pStyle w:val="Heading3"/>
      </w:pPr>
      <w:bookmarkStart w:id="9" w:name="_Toc511913519"/>
      <w:r>
        <w:lastRenderedPageBreak/>
        <w:t>Contents</w:t>
      </w:r>
      <w:bookmarkEnd w:id="9"/>
    </w:p>
    <w:p w:rsidR="0066787E" w:rsidRDefault="0066787E" w:rsidP="00307CE3">
      <w:pPr>
        <w:pStyle w:val="TOC1"/>
      </w:pPr>
    </w:p>
    <w:p w:rsidR="0066787E" w:rsidRDefault="0066787E" w:rsidP="00307CE3">
      <w:pPr>
        <w:pStyle w:val="TOC1"/>
      </w:pPr>
    </w:p>
    <w:p w:rsidR="00307CE3" w:rsidRDefault="00307CE3" w:rsidP="00307CE3">
      <w:pPr>
        <w:pStyle w:val="TOC1"/>
        <w:rPr>
          <w:rFonts w:eastAsiaTheme="minorEastAsia"/>
          <w:b w:val="0"/>
          <w:bCs w:val="0"/>
          <w:caps w:val="0"/>
          <w:noProof/>
          <w:sz w:val="22"/>
          <w:szCs w:val="22"/>
          <w:lang w:eastAsia="en-AU"/>
        </w:rPr>
      </w:pPr>
      <w:r>
        <w:fldChar w:fldCharType="begin"/>
      </w:r>
      <w:r>
        <w:instrText xml:space="preserve"> TOC \f \h \z \u \t "Heading 2,1,Heading 3,1,Heading 4,3" </w:instrText>
      </w:r>
      <w:r>
        <w:fldChar w:fldCharType="separate"/>
      </w:r>
      <w:hyperlink w:anchor="_Toc511913520" w:history="1">
        <w:r w:rsidRPr="00CF736E">
          <w:rPr>
            <w:rStyle w:val="Hyperlink"/>
            <w:noProof/>
          </w:rPr>
          <w:t>INTRODUCTION</w:t>
        </w:r>
        <w:r>
          <w:rPr>
            <w:noProof/>
            <w:webHidden/>
          </w:rPr>
          <w:tab/>
        </w:r>
        <w:r>
          <w:rPr>
            <w:noProof/>
            <w:webHidden/>
          </w:rPr>
          <w:fldChar w:fldCharType="begin"/>
        </w:r>
        <w:r>
          <w:rPr>
            <w:noProof/>
            <w:webHidden/>
          </w:rPr>
          <w:instrText xml:space="preserve"> PAGEREF _Toc511913520 \h </w:instrText>
        </w:r>
        <w:r>
          <w:rPr>
            <w:noProof/>
            <w:webHidden/>
          </w:rPr>
        </w:r>
        <w:r>
          <w:rPr>
            <w:noProof/>
            <w:webHidden/>
          </w:rPr>
          <w:fldChar w:fldCharType="separate"/>
        </w:r>
        <w:r w:rsidR="0066787E">
          <w:rPr>
            <w:noProof/>
            <w:webHidden/>
          </w:rPr>
          <w:t>1</w:t>
        </w:r>
        <w:r>
          <w:rPr>
            <w:noProof/>
            <w:webHidden/>
          </w:rPr>
          <w:fldChar w:fldCharType="end"/>
        </w:r>
      </w:hyperlink>
    </w:p>
    <w:p w:rsidR="00307CE3" w:rsidRDefault="004A541C" w:rsidP="00307CE3">
      <w:pPr>
        <w:pStyle w:val="TOC1"/>
        <w:rPr>
          <w:rFonts w:eastAsiaTheme="minorEastAsia"/>
          <w:b w:val="0"/>
          <w:bCs w:val="0"/>
          <w:caps w:val="0"/>
          <w:noProof/>
          <w:sz w:val="22"/>
          <w:szCs w:val="22"/>
          <w:lang w:eastAsia="en-AU"/>
        </w:rPr>
      </w:pPr>
      <w:hyperlink w:anchor="_Toc511913521" w:history="1">
        <w:r w:rsidR="00307CE3" w:rsidRPr="00CF736E">
          <w:rPr>
            <w:rStyle w:val="Hyperlink"/>
            <w:noProof/>
          </w:rPr>
          <w:t>Proposed scope of activities and category structure</w:t>
        </w:r>
        <w:r w:rsidR="00307CE3">
          <w:rPr>
            <w:noProof/>
            <w:webHidden/>
          </w:rPr>
          <w:tab/>
        </w:r>
        <w:r w:rsidR="00307CE3">
          <w:rPr>
            <w:noProof/>
            <w:webHidden/>
          </w:rPr>
          <w:fldChar w:fldCharType="begin"/>
        </w:r>
        <w:r w:rsidR="00307CE3">
          <w:rPr>
            <w:noProof/>
            <w:webHidden/>
          </w:rPr>
          <w:instrText xml:space="preserve"> PAGEREF _Toc511913521 \h </w:instrText>
        </w:r>
        <w:r w:rsidR="00307CE3">
          <w:rPr>
            <w:noProof/>
            <w:webHidden/>
          </w:rPr>
        </w:r>
        <w:r w:rsidR="00307CE3">
          <w:rPr>
            <w:noProof/>
            <w:webHidden/>
          </w:rPr>
          <w:fldChar w:fldCharType="separate"/>
        </w:r>
        <w:r w:rsidR="0066787E">
          <w:rPr>
            <w:noProof/>
            <w:webHidden/>
          </w:rPr>
          <w:t>1</w:t>
        </w:r>
        <w:r w:rsidR="00307CE3">
          <w:rPr>
            <w:noProof/>
            <w:webHidden/>
          </w:rPr>
          <w:fldChar w:fldCharType="end"/>
        </w:r>
      </w:hyperlink>
    </w:p>
    <w:p w:rsidR="00307CE3" w:rsidRDefault="004A541C" w:rsidP="00307CE3">
      <w:pPr>
        <w:pStyle w:val="TOC1"/>
        <w:rPr>
          <w:rFonts w:eastAsiaTheme="minorEastAsia"/>
          <w:b w:val="0"/>
          <w:bCs w:val="0"/>
          <w:caps w:val="0"/>
          <w:noProof/>
          <w:sz w:val="22"/>
          <w:szCs w:val="22"/>
          <w:lang w:eastAsia="en-AU"/>
        </w:rPr>
      </w:pPr>
      <w:hyperlink w:anchor="_Toc511913522" w:history="1">
        <w:r w:rsidR="00307CE3" w:rsidRPr="00CF736E">
          <w:rPr>
            <w:rStyle w:val="Hyperlink"/>
            <w:noProof/>
          </w:rPr>
          <w:t>Proposed disability assessments</w:t>
        </w:r>
        <w:r w:rsidR="00307CE3">
          <w:rPr>
            <w:noProof/>
            <w:webHidden/>
          </w:rPr>
          <w:tab/>
        </w:r>
        <w:r w:rsidR="00307CE3">
          <w:rPr>
            <w:noProof/>
            <w:webHidden/>
          </w:rPr>
          <w:fldChar w:fldCharType="begin"/>
        </w:r>
        <w:r w:rsidR="00307CE3">
          <w:rPr>
            <w:noProof/>
            <w:webHidden/>
          </w:rPr>
          <w:instrText xml:space="preserve"> PAGEREF _Toc511913522 \h </w:instrText>
        </w:r>
        <w:r w:rsidR="00307CE3">
          <w:rPr>
            <w:noProof/>
            <w:webHidden/>
          </w:rPr>
        </w:r>
        <w:r w:rsidR="00307CE3">
          <w:rPr>
            <w:noProof/>
            <w:webHidden/>
          </w:rPr>
          <w:fldChar w:fldCharType="separate"/>
        </w:r>
        <w:r w:rsidR="0066787E">
          <w:rPr>
            <w:noProof/>
            <w:webHidden/>
          </w:rPr>
          <w:t>2</w:t>
        </w:r>
        <w:r w:rsidR="00307CE3">
          <w:rPr>
            <w:noProof/>
            <w:webHidden/>
          </w:rPr>
          <w:fldChar w:fldCharType="end"/>
        </w:r>
      </w:hyperlink>
    </w:p>
    <w:p w:rsidR="00307CE3" w:rsidRDefault="004A541C" w:rsidP="00307CE3">
      <w:pPr>
        <w:pStyle w:val="TOC3"/>
        <w:rPr>
          <w:rFonts w:eastAsiaTheme="minorEastAsia"/>
          <w:iCs w:val="0"/>
          <w:noProof/>
          <w:sz w:val="22"/>
          <w:lang w:eastAsia="en-AU"/>
        </w:rPr>
      </w:pPr>
      <w:hyperlink w:anchor="_Toc511913523" w:history="1">
        <w:r w:rsidR="00307CE3" w:rsidRPr="00CF736E">
          <w:rPr>
            <w:rStyle w:val="Hyperlink"/>
            <w:noProof/>
          </w:rPr>
          <w:t>Seeking State views</w:t>
        </w:r>
        <w:r w:rsidR="00307CE3">
          <w:rPr>
            <w:noProof/>
            <w:webHidden/>
          </w:rPr>
          <w:tab/>
        </w:r>
        <w:r w:rsidR="00307CE3">
          <w:rPr>
            <w:noProof/>
            <w:webHidden/>
          </w:rPr>
          <w:fldChar w:fldCharType="begin"/>
        </w:r>
        <w:r w:rsidR="00307CE3">
          <w:rPr>
            <w:noProof/>
            <w:webHidden/>
          </w:rPr>
          <w:instrText xml:space="preserve"> PAGEREF _Toc511913523 \h </w:instrText>
        </w:r>
        <w:r w:rsidR="00307CE3">
          <w:rPr>
            <w:noProof/>
            <w:webHidden/>
          </w:rPr>
        </w:r>
        <w:r w:rsidR="00307CE3">
          <w:rPr>
            <w:noProof/>
            <w:webHidden/>
          </w:rPr>
          <w:fldChar w:fldCharType="separate"/>
        </w:r>
        <w:r w:rsidR="0066787E">
          <w:rPr>
            <w:noProof/>
            <w:webHidden/>
          </w:rPr>
          <w:t>4</w:t>
        </w:r>
        <w:r w:rsidR="00307CE3">
          <w:rPr>
            <w:noProof/>
            <w:webHidden/>
          </w:rPr>
          <w:fldChar w:fldCharType="end"/>
        </w:r>
      </w:hyperlink>
    </w:p>
    <w:p w:rsidR="00307CE3" w:rsidRDefault="004A541C" w:rsidP="00307CE3">
      <w:pPr>
        <w:pStyle w:val="TOC1"/>
        <w:rPr>
          <w:rFonts w:eastAsiaTheme="minorEastAsia"/>
          <w:b w:val="0"/>
          <w:bCs w:val="0"/>
          <w:caps w:val="0"/>
          <w:noProof/>
          <w:sz w:val="22"/>
          <w:szCs w:val="22"/>
          <w:lang w:eastAsia="en-AU"/>
        </w:rPr>
      </w:pPr>
      <w:hyperlink w:anchor="_Toc511913524" w:history="1">
        <w:r w:rsidR="00307CE3" w:rsidRPr="00CF736E">
          <w:rPr>
            <w:rStyle w:val="Hyperlink"/>
            <w:noProof/>
          </w:rPr>
          <w:t>Attachment A – Assessment framework</w:t>
        </w:r>
        <w:r w:rsidR="00307CE3">
          <w:rPr>
            <w:noProof/>
            <w:webHidden/>
          </w:rPr>
          <w:tab/>
        </w:r>
        <w:r w:rsidR="00307CE3">
          <w:rPr>
            <w:noProof/>
            <w:webHidden/>
          </w:rPr>
          <w:fldChar w:fldCharType="begin"/>
        </w:r>
        <w:r w:rsidR="00307CE3">
          <w:rPr>
            <w:noProof/>
            <w:webHidden/>
          </w:rPr>
          <w:instrText xml:space="preserve"> PAGEREF _Toc511913524 \h </w:instrText>
        </w:r>
        <w:r w:rsidR="00307CE3">
          <w:rPr>
            <w:noProof/>
            <w:webHidden/>
          </w:rPr>
        </w:r>
        <w:r w:rsidR="00307CE3">
          <w:rPr>
            <w:noProof/>
            <w:webHidden/>
          </w:rPr>
          <w:fldChar w:fldCharType="separate"/>
        </w:r>
        <w:r w:rsidR="0066787E">
          <w:rPr>
            <w:noProof/>
            <w:webHidden/>
          </w:rPr>
          <w:t>5</w:t>
        </w:r>
        <w:r w:rsidR="00307CE3">
          <w:rPr>
            <w:noProof/>
            <w:webHidden/>
          </w:rPr>
          <w:fldChar w:fldCharType="end"/>
        </w:r>
      </w:hyperlink>
    </w:p>
    <w:p w:rsidR="00307CE3" w:rsidRDefault="004A541C" w:rsidP="00307CE3">
      <w:pPr>
        <w:pStyle w:val="TOC1"/>
        <w:rPr>
          <w:rFonts w:eastAsiaTheme="minorEastAsia"/>
          <w:b w:val="0"/>
          <w:bCs w:val="0"/>
          <w:caps w:val="0"/>
          <w:noProof/>
          <w:sz w:val="22"/>
          <w:szCs w:val="22"/>
          <w:lang w:eastAsia="en-AU"/>
        </w:rPr>
      </w:pPr>
      <w:hyperlink w:anchor="_Toc511913525" w:history="1">
        <w:r w:rsidR="00307CE3" w:rsidRPr="00CF736E">
          <w:rPr>
            <w:rStyle w:val="Hyperlink"/>
            <w:noProof/>
          </w:rPr>
          <w:t>Attachment B – GST Redistribution</w:t>
        </w:r>
        <w:r w:rsidR="00307CE3">
          <w:rPr>
            <w:noProof/>
            <w:webHidden/>
          </w:rPr>
          <w:tab/>
        </w:r>
        <w:r w:rsidR="00307CE3">
          <w:rPr>
            <w:noProof/>
            <w:webHidden/>
          </w:rPr>
          <w:fldChar w:fldCharType="begin"/>
        </w:r>
        <w:r w:rsidR="00307CE3">
          <w:rPr>
            <w:noProof/>
            <w:webHidden/>
          </w:rPr>
          <w:instrText xml:space="preserve"> PAGEREF _Toc511913525 \h </w:instrText>
        </w:r>
        <w:r w:rsidR="00307CE3">
          <w:rPr>
            <w:noProof/>
            <w:webHidden/>
          </w:rPr>
        </w:r>
        <w:r w:rsidR="00307CE3">
          <w:rPr>
            <w:noProof/>
            <w:webHidden/>
          </w:rPr>
          <w:fldChar w:fldCharType="separate"/>
        </w:r>
        <w:r w:rsidR="0066787E">
          <w:rPr>
            <w:noProof/>
            <w:webHidden/>
          </w:rPr>
          <w:t>12</w:t>
        </w:r>
        <w:r w:rsidR="00307CE3">
          <w:rPr>
            <w:noProof/>
            <w:webHidden/>
          </w:rPr>
          <w:fldChar w:fldCharType="end"/>
        </w:r>
      </w:hyperlink>
    </w:p>
    <w:p w:rsidR="00307CE3" w:rsidRDefault="00307CE3" w:rsidP="00307CE3">
      <w:pPr>
        <w:pStyle w:val="NoSpacing"/>
      </w:pPr>
      <w:r>
        <w:fldChar w:fldCharType="end"/>
      </w:r>
    </w:p>
    <w:p w:rsidR="00307CE3" w:rsidRPr="00307CE3" w:rsidRDefault="00307CE3" w:rsidP="00307CE3">
      <w:pPr>
        <w:pStyle w:val="Heading5"/>
        <w:sectPr w:rsidR="00307CE3" w:rsidRPr="00307CE3" w:rsidSect="00BD0F62">
          <w:footerReference w:type="default" r:id="rId15"/>
          <w:footerReference w:type="first" r:id="rId16"/>
          <w:pgSz w:w="11899" w:h="16838" w:code="9"/>
          <w:pgMar w:top="1701" w:right="1474" w:bottom="1701" w:left="1474" w:header="709" w:footer="709" w:gutter="0"/>
          <w:pgNumType w:start="1"/>
          <w:cols w:space="708"/>
          <w:titlePg/>
          <w:docGrid w:linePitch="299"/>
        </w:sectPr>
      </w:pPr>
    </w:p>
    <w:p w:rsidR="003B4C77" w:rsidRDefault="003B4C77" w:rsidP="003B4C77">
      <w:pPr>
        <w:pStyle w:val="Heading3"/>
      </w:pPr>
      <w:bookmarkStart w:id="10" w:name="_Toc511913520"/>
      <w:r>
        <w:lastRenderedPageBreak/>
        <w:t>INTRODUCTION</w:t>
      </w:r>
      <w:bookmarkEnd w:id="10"/>
    </w:p>
    <w:p w:rsidR="003B4C77" w:rsidRDefault="005063F9" w:rsidP="003B4C77">
      <w:pPr>
        <w:pStyle w:val="CGCNumberedPara"/>
        <w:numPr>
          <w:ilvl w:val="1"/>
          <w:numId w:val="3"/>
        </w:numPr>
      </w:pPr>
      <w:r>
        <w:t xml:space="preserve">In </w:t>
      </w:r>
      <w:r w:rsidR="003B4C77">
        <w:t>the 2020 Review work plan, the Commission advised States it would send out p</w:t>
      </w:r>
      <w:r w:rsidR="003B4C77" w:rsidRPr="00A47636">
        <w:t>reliminary staff paper</w:t>
      </w:r>
      <w:r w:rsidR="001E719C">
        <w:t>s</w:t>
      </w:r>
      <w:r w:rsidR="003B4C77" w:rsidRPr="00A47636">
        <w:t xml:space="preserve"> to States on scope and structure, treatment of Commonwealth payments, </w:t>
      </w:r>
      <w:r>
        <w:t xml:space="preserve">and </w:t>
      </w:r>
      <w:r w:rsidR="003B4C77" w:rsidRPr="00A47636">
        <w:t xml:space="preserve">category and factor assessments </w:t>
      </w:r>
      <w:r w:rsidR="0066787E">
        <w:t>by the end of April </w:t>
      </w:r>
      <w:r w:rsidR="003B4C77">
        <w:t xml:space="preserve">2018. </w:t>
      </w:r>
      <w:r w:rsidR="0069652F">
        <w:t xml:space="preserve">These issues are covered in </w:t>
      </w:r>
      <w:r>
        <w:t xml:space="preserve">a </w:t>
      </w:r>
      <w:r w:rsidR="0069652F">
        <w:t xml:space="preserve">suite of </w:t>
      </w:r>
      <w:r>
        <w:t xml:space="preserve">staff </w:t>
      </w:r>
      <w:r w:rsidR="003B4C77">
        <w:t>papers</w:t>
      </w:r>
      <w:r>
        <w:t>, which include</w:t>
      </w:r>
      <w:r w:rsidR="003B4C77">
        <w:t>:</w:t>
      </w:r>
    </w:p>
    <w:p w:rsidR="003B4C77" w:rsidRDefault="003B4C77" w:rsidP="00FB1E1B">
      <w:pPr>
        <w:pStyle w:val="CGCBulletlist"/>
        <w:numPr>
          <w:ilvl w:val="0"/>
          <w:numId w:val="1"/>
        </w:numPr>
        <w:tabs>
          <w:tab w:val="clear" w:pos="927"/>
        </w:tabs>
        <w:ind w:left="1134" w:hanging="567"/>
      </w:pPr>
      <w:r>
        <w:t xml:space="preserve">an </w:t>
      </w:r>
      <w:r w:rsidR="00FB1E1B">
        <w:t>overview to the draft assessment papers</w:t>
      </w:r>
      <w:r>
        <w:t xml:space="preserve"> </w:t>
      </w:r>
      <w:r w:rsidR="0066787E">
        <w:t>(this paper)</w:t>
      </w:r>
    </w:p>
    <w:p w:rsidR="0020053C" w:rsidRDefault="0020053C" w:rsidP="0020053C">
      <w:pPr>
        <w:pStyle w:val="CGCBulletlist"/>
        <w:numPr>
          <w:ilvl w:val="0"/>
          <w:numId w:val="1"/>
        </w:numPr>
        <w:tabs>
          <w:tab w:val="clear" w:pos="927"/>
        </w:tabs>
        <w:ind w:left="1134" w:hanging="567"/>
      </w:pPr>
      <w:r>
        <w:t xml:space="preserve">draft assessment papers for each </w:t>
      </w:r>
      <w:r w:rsidR="001E719C">
        <w:t xml:space="preserve">category </w:t>
      </w:r>
      <w:r>
        <w:t xml:space="preserve">and </w:t>
      </w:r>
      <w:r w:rsidR="0069652F">
        <w:t xml:space="preserve">common </w:t>
      </w:r>
      <w:r>
        <w:t>factors</w:t>
      </w:r>
    </w:p>
    <w:p w:rsidR="003B4C77" w:rsidRDefault="003B4C77" w:rsidP="00FB1E1B">
      <w:pPr>
        <w:pStyle w:val="CGCBulletlist"/>
      </w:pPr>
      <w:r>
        <w:t xml:space="preserve">a </w:t>
      </w:r>
      <w:r w:rsidR="00FB1E1B" w:rsidRPr="00FB1E1B">
        <w:t xml:space="preserve">research paper </w:t>
      </w:r>
      <w:r w:rsidR="00FB1E1B">
        <w:t>on a</w:t>
      </w:r>
      <w:r w:rsidR="00FB1E1B" w:rsidRPr="00FB1E1B">
        <w:t xml:space="preserve"> broader assessment approach</w:t>
      </w:r>
    </w:p>
    <w:p w:rsidR="003B4C77" w:rsidRDefault="003B4C77" w:rsidP="003B4C77">
      <w:pPr>
        <w:pStyle w:val="CGCBulletlist"/>
        <w:numPr>
          <w:ilvl w:val="0"/>
          <w:numId w:val="1"/>
        </w:numPr>
        <w:tabs>
          <w:tab w:val="clear" w:pos="927"/>
        </w:tabs>
        <w:ind w:left="1134" w:hanging="567"/>
      </w:pPr>
      <w:proofErr w:type="gramStart"/>
      <w:r>
        <w:t>a</w:t>
      </w:r>
      <w:proofErr w:type="gramEnd"/>
      <w:r>
        <w:t xml:space="preserve"> discussion paper on the quality assurance strategy.</w:t>
      </w:r>
    </w:p>
    <w:p w:rsidR="003B4C77" w:rsidRDefault="003B4C77" w:rsidP="003B4C77">
      <w:pPr>
        <w:pStyle w:val="CGCNumberedPara"/>
        <w:numPr>
          <w:ilvl w:val="1"/>
          <w:numId w:val="3"/>
        </w:numPr>
      </w:pPr>
      <w:r>
        <w:t xml:space="preserve">These papers set out </w:t>
      </w:r>
      <w:r w:rsidRPr="001339B0">
        <w:rPr>
          <w:b/>
        </w:rPr>
        <w:t>staff views</w:t>
      </w:r>
      <w:r>
        <w:t xml:space="preserve"> on category and factor assessments for the 2020 Review. Not all aspects of assessments are addressed. Where they are not discussed, States should assume that Commission </w:t>
      </w:r>
      <w:proofErr w:type="gramStart"/>
      <w:r>
        <w:t>staff are</w:t>
      </w:r>
      <w:proofErr w:type="gramEnd"/>
      <w:r>
        <w:t xml:space="preserve"> not proposing to </w:t>
      </w:r>
      <w:r w:rsidR="001339B0">
        <w:t xml:space="preserve">recommend </w:t>
      </w:r>
      <w:r>
        <w:t>changes</w:t>
      </w:r>
      <w:r w:rsidR="001339B0">
        <w:t xml:space="preserve"> to the Commission</w:t>
      </w:r>
      <w:r>
        <w:t xml:space="preserve">. </w:t>
      </w:r>
    </w:p>
    <w:p w:rsidR="003B4C77" w:rsidRDefault="003B4C77" w:rsidP="003B4C77">
      <w:pPr>
        <w:pStyle w:val="CGCNumberedPara"/>
        <w:numPr>
          <w:ilvl w:val="1"/>
          <w:numId w:val="3"/>
        </w:numPr>
      </w:pPr>
      <w:r>
        <w:t>Staff have used State views from the 2015 Review</w:t>
      </w:r>
      <w:r w:rsidR="005063F9">
        <w:t>,</w:t>
      </w:r>
      <w:r>
        <w:t xml:space="preserve"> State comments on the </w:t>
      </w:r>
      <w:r w:rsidR="0066787E">
        <w:t>Staff Research Papers (</w:t>
      </w:r>
      <w:r w:rsidR="005063F9">
        <w:t>What State</w:t>
      </w:r>
      <w:r w:rsidR="00A96CD9">
        <w:t>s</w:t>
      </w:r>
      <w:r w:rsidR="005063F9">
        <w:t xml:space="preserve"> do</w:t>
      </w:r>
      <w:r w:rsidR="0066787E">
        <w:t xml:space="preserve"> papers)</w:t>
      </w:r>
      <w:r w:rsidR="005063F9">
        <w:t xml:space="preserve">, and the October/November telepresence discussions </w:t>
      </w:r>
      <w:r>
        <w:t>to help identify issues.</w:t>
      </w:r>
    </w:p>
    <w:p w:rsidR="00AF5F21" w:rsidRPr="00A66AD0" w:rsidRDefault="00AF5F21" w:rsidP="00AF5F21">
      <w:pPr>
        <w:pStyle w:val="Heading3"/>
      </w:pPr>
      <w:bookmarkStart w:id="11" w:name="_Toc510012054"/>
      <w:bookmarkStart w:id="12" w:name="_Toc511913521"/>
      <w:r>
        <w:t xml:space="preserve">Proposed scope of </w:t>
      </w:r>
      <w:r w:rsidRPr="00A66AD0">
        <w:t>activities</w:t>
      </w:r>
      <w:r>
        <w:t xml:space="preserve"> and category structure</w:t>
      </w:r>
      <w:bookmarkEnd w:id="11"/>
      <w:bookmarkEnd w:id="12"/>
      <w:r>
        <w:t xml:space="preserve"> </w:t>
      </w:r>
    </w:p>
    <w:p w:rsidR="00AF5F21" w:rsidRPr="00A66AD0" w:rsidRDefault="00AF5F21" w:rsidP="00C633E4">
      <w:pPr>
        <w:pStyle w:val="CGCNumberedPara"/>
      </w:pPr>
      <w:r>
        <w:t>The scope of State activities covered in the draft assessment papers is the same as that of the 2015 Review.</w:t>
      </w:r>
      <w:r w:rsidR="00FB1E1B">
        <w:t xml:space="preserve"> </w:t>
      </w:r>
      <w:r w:rsidRPr="00A66AD0">
        <w:t>The range of activities includes all State general government sector activities and urban transport and public housing public non-financial corporations</w:t>
      </w:r>
      <w:r>
        <w:t xml:space="preserve">, as defined by </w:t>
      </w:r>
      <w:r w:rsidR="00C633E4" w:rsidRPr="00C633E4">
        <w:t xml:space="preserve">the </w:t>
      </w:r>
      <w:r w:rsidR="001735C7">
        <w:t>updated</w:t>
      </w:r>
      <w:r w:rsidR="001735C7" w:rsidRPr="00C633E4">
        <w:t xml:space="preserve"> </w:t>
      </w:r>
      <w:r w:rsidR="00C633E4" w:rsidRPr="00C633E4">
        <w:t>Australian System of Government Finance Statistics 2015 framework (AGFS15)</w:t>
      </w:r>
      <w:r w:rsidR="001735C7">
        <w:t>, recently adopted by the ABS</w:t>
      </w:r>
      <w:r w:rsidR="00C633E4" w:rsidRPr="00C633E4">
        <w:t xml:space="preserve">. </w:t>
      </w:r>
      <w:r w:rsidR="00C633E4">
        <w:t xml:space="preserve"> </w:t>
      </w:r>
    </w:p>
    <w:p w:rsidR="00AF5F21" w:rsidRDefault="00AF5F21" w:rsidP="00AF5F21">
      <w:pPr>
        <w:pStyle w:val="CGCNumberedPara"/>
        <w:numPr>
          <w:ilvl w:val="1"/>
          <w:numId w:val="3"/>
        </w:numPr>
      </w:pPr>
      <w:r>
        <w:t>The staff</w:t>
      </w:r>
      <w:r w:rsidRPr="00A66AD0">
        <w:t xml:space="preserve"> starting position for the 20</w:t>
      </w:r>
      <w:r>
        <w:t>20</w:t>
      </w:r>
      <w:r w:rsidRPr="00A66AD0">
        <w:t xml:space="preserve"> Review is the category structure from the 20</w:t>
      </w:r>
      <w:r>
        <w:t>15</w:t>
      </w:r>
      <w:r w:rsidRPr="00A66AD0">
        <w:t xml:space="preserve"> Review. </w:t>
      </w:r>
      <w:r w:rsidR="000B7B6B">
        <w:t xml:space="preserve">The only change proposed is combining </w:t>
      </w:r>
      <w:r w:rsidR="000B7B6B" w:rsidRPr="00A66AD0">
        <w:t>depreciation</w:t>
      </w:r>
      <w:r w:rsidR="000B7B6B">
        <w:t xml:space="preserve"> and</w:t>
      </w:r>
      <w:r w:rsidR="000B7B6B" w:rsidRPr="00A66AD0">
        <w:t xml:space="preserve"> investment</w:t>
      </w:r>
      <w:r w:rsidR="000B7B6B">
        <w:t xml:space="preserve"> into a single </w:t>
      </w:r>
      <w:r w:rsidR="006B37CD">
        <w:t xml:space="preserve">Investment </w:t>
      </w:r>
      <w:r w:rsidR="000B7B6B">
        <w:t>category</w:t>
      </w:r>
      <w:r w:rsidR="002F6733">
        <w:t>.</w:t>
      </w:r>
      <w:r w:rsidRPr="00A66AD0">
        <w:t xml:space="preserve"> </w:t>
      </w:r>
    </w:p>
    <w:p w:rsidR="00AF5F21" w:rsidRDefault="00AF5F21" w:rsidP="00AF5F21">
      <w:pPr>
        <w:pStyle w:val="CGCNumberedPara"/>
        <w:numPr>
          <w:ilvl w:val="1"/>
          <w:numId w:val="3"/>
        </w:numPr>
      </w:pPr>
      <w:r w:rsidRPr="00A66AD0">
        <w:t xml:space="preserve">Assessments are undertaken for </w:t>
      </w:r>
      <w:r>
        <w:t>payroll tax, land tax, stamp duty, insurance tax, motor taxes, mining revenue, other revenue,</w:t>
      </w:r>
      <w:r w:rsidRPr="00A66AD0">
        <w:t xml:space="preserve"> schools, post</w:t>
      </w:r>
      <w:r w:rsidRPr="00A66AD0">
        <w:noBreakHyphen/>
        <w:t xml:space="preserve">secondary education, health, welfare, housing, services to communities, justice, roads, transport, services to industry, </w:t>
      </w:r>
      <w:r w:rsidR="00A96CD9">
        <w:t xml:space="preserve">other expenses, </w:t>
      </w:r>
      <w:r w:rsidR="006B37CD">
        <w:t>investment</w:t>
      </w:r>
      <w:r w:rsidR="00B54D28">
        <w:t xml:space="preserve"> (combining </w:t>
      </w:r>
      <w:r w:rsidR="00A96CD9" w:rsidRPr="00A66AD0">
        <w:t>depreciation</w:t>
      </w:r>
      <w:r w:rsidR="00B54D28">
        <w:t xml:space="preserve"> and</w:t>
      </w:r>
      <w:r w:rsidR="00A96CD9" w:rsidRPr="00A66AD0">
        <w:t xml:space="preserve"> </w:t>
      </w:r>
      <w:r w:rsidRPr="00A66AD0">
        <w:t>investment</w:t>
      </w:r>
      <w:r w:rsidR="00B54D28">
        <w:t>)</w:t>
      </w:r>
      <w:r>
        <w:t xml:space="preserve"> and </w:t>
      </w:r>
      <w:r w:rsidRPr="00A66AD0">
        <w:t>net borrowing.</w:t>
      </w:r>
    </w:p>
    <w:p w:rsidR="00AF5F21" w:rsidRDefault="00AF5F21" w:rsidP="00AF5F21">
      <w:pPr>
        <w:pStyle w:val="Heading3"/>
      </w:pPr>
      <w:bookmarkStart w:id="13" w:name="_Toc510012055"/>
      <w:bookmarkStart w:id="14" w:name="_Toc511913522"/>
      <w:r>
        <w:lastRenderedPageBreak/>
        <w:t>Proposed disability assessments</w:t>
      </w:r>
      <w:bookmarkEnd w:id="13"/>
      <w:bookmarkEnd w:id="14"/>
    </w:p>
    <w:p w:rsidR="00AF5F21" w:rsidRDefault="0066787E" w:rsidP="004B76FE">
      <w:pPr>
        <w:pStyle w:val="CGCNumberedPara"/>
        <w:numPr>
          <w:ilvl w:val="1"/>
          <w:numId w:val="3"/>
        </w:numPr>
      </w:pPr>
      <w:r>
        <w:t>The draft assessment</w:t>
      </w:r>
      <w:r w:rsidR="00AF5F21">
        <w:t xml:space="preserve"> papers show that </w:t>
      </w:r>
      <w:proofErr w:type="gramStart"/>
      <w:r w:rsidR="00AF5F21">
        <w:t>staff propose</w:t>
      </w:r>
      <w:proofErr w:type="gramEnd"/>
      <w:r w:rsidR="00AF5F21">
        <w:t xml:space="preserve"> to retain most disabilities assessed in the last review. Most of the changes proposed in the draft assessment papers are improvements to the measurements of disabilities through, for example:</w:t>
      </w:r>
    </w:p>
    <w:p w:rsidR="00AF5F21" w:rsidRDefault="00AF5F21" w:rsidP="00AF5F21">
      <w:pPr>
        <w:pStyle w:val="CGCBulletlist"/>
        <w:numPr>
          <w:ilvl w:val="0"/>
          <w:numId w:val="1"/>
        </w:numPr>
        <w:tabs>
          <w:tab w:val="clear" w:pos="927"/>
        </w:tabs>
        <w:ind w:left="1134" w:hanging="567"/>
      </w:pPr>
      <w:r>
        <w:t>the use of better data, for example</w:t>
      </w:r>
      <w:r w:rsidR="005063F9">
        <w:t>,</w:t>
      </w:r>
      <w:r>
        <w:t xml:space="preserve"> the proposed combined use of Australian Institute of Health and Welfare and ABS census data for the assessment of socio-demographic composition disabilities in the Housing category</w:t>
      </w:r>
    </w:p>
    <w:p w:rsidR="00AF5F21" w:rsidRDefault="00AF5F21" w:rsidP="00AF5F21">
      <w:pPr>
        <w:pStyle w:val="CGCBulletlist"/>
        <w:numPr>
          <w:ilvl w:val="0"/>
          <w:numId w:val="1"/>
        </w:numPr>
        <w:tabs>
          <w:tab w:val="clear" w:pos="927"/>
        </w:tabs>
        <w:ind w:left="1134" w:hanging="567"/>
      </w:pPr>
      <w:r>
        <w:t>the improvement in assessment methodology, such as the improvements proposed in the Investment category</w:t>
      </w:r>
    </w:p>
    <w:p w:rsidR="00AF5F21" w:rsidRDefault="00AF5F21" w:rsidP="00AF5F21">
      <w:pPr>
        <w:pStyle w:val="CGCBulletlist"/>
        <w:numPr>
          <w:ilvl w:val="0"/>
          <w:numId w:val="1"/>
        </w:numPr>
        <w:tabs>
          <w:tab w:val="clear" w:pos="927"/>
        </w:tabs>
        <w:ind w:left="1134" w:hanging="567"/>
      </w:pPr>
      <w:r>
        <w:t>the better targeting of disabilities</w:t>
      </w:r>
      <w:r w:rsidR="005063F9">
        <w:t>,</w:t>
      </w:r>
      <w:r>
        <w:t xml:space="preserve"> </w:t>
      </w:r>
      <w:r w:rsidR="005063F9">
        <w:t>f</w:t>
      </w:r>
      <w:r>
        <w:t>or example, better measuring the population in relation to electricity subsid</w:t>
      </w:r>
      <w:r w:rsidR="005063F9">
        <w:t>ie</w:t>
      </w:r>
      <w:r>
        <w:t>s</w:t>
      </w:r>
    </w:p>
    <w:p w:rsidR="00AF5F21" w:rsidRDefault="00AF5F21" w:rsidP="00AF5F21">
      <w:pPr>
        <w:pStyle w:val="CGCBulletlist"/>
        <w:numPr>
          <w:ilvl w:val="0"/>
          <w:numId w:val="1"/>
        </w:numPr>
        <w:tabs>
          <w:tab w:val="clear" w:pos="927"/>
        </w:tabs>
        <w:ind w:left="1134" w:hanging="567"/>
      </w:pPr>
      <w:r>
        <w:t>adapting assessment</w:t>
      </w:r>
      <w:r w:rsidR="005063F9">
        <w:t>s</w:t>
      </w:r>
      <w:r>
        <w:t xml:space="preserve"> to better capture changes in what States do</w:t>
      </w:r>
    </w:p>
    <w:p w:rsidR="00AF5F21" w:rsidRDefault="005063F9" w:rsidP="00AF5F21">
      <w:pPr>
        <w:pStyle w:val="CGCBulletlist"/>
        <w:numPr>
          <w:ilvl w:val="0"/>
          <w:numId w:val="1"/>
        </w:numPr>
        <w:tabs>
          <w:tab w:val="clear" w:pos="927"/>
        </w:tabs>
        <w:ind w:left="1134" w:hanging="567"/>
      </w:pPr>
      <w:proofErr w:type="gramStart"/>
      <w:r>
        <w:t>using</w:t>
      </w:r>
      <w:proofErr w:type="gramEnd"/>
      <w:r>
        <w:t xml:space="preserve"> broader indicators, for example, </w:t>
      </w:r>
      <w:r w:rsidR="00E81E20">
        <w:t>assessing other land based taxes using land values for residential, commercial and industrial properties.</w:t>
      </w:r>
    </w:p>
    <w:p w:rsidR="0066787E" w:rsidRDefault="004B76FE" w:rsidP="004B76FE">
      <w:pPr>
        <w:pStyle w:val="CGCNumberedPara"/>
      </w:pPr>
      <w:r>
        <w:t xml:space="preserve">For the expenditure assessments, </w:t>
      </w:r>
      <w:proofErr w:type="gramStart"/>
      <w:r w:rsidR="005063F9">
        <w:t>staff</w:t>
      </w:r>
      <w:r>
        <w:t xml:space="preserve"> are</w:t>
      </w:r>
      <w:proofErr w:type="gramEnd"/>
      <w:r>
        <w:t xml:space="preserve"> not proposing </w:t>
      </w:r>
      <w:r w:rsidR="000B7B6B">
        <w:t xml:space="preserve">to </w:t>
      </w:r>
      <w:r>
        <w:t xml:space="preserve">assess new </w:t>
      </w:r>
      <w:r w:rsidRPr="004B76FE">
        <w:t>disabilities</w:t>
      </w:r>
      <w:r w:rsidR="000B7B6B">
        <w:t xml:space="preserve"> </w:t>
      </w:r>
      <w:r w:rsidR="005D7488">
        <w:t xml:space="preserve">but </w:t>
      </w:r>
      <w:r w:rsidR="000B7B6B">
        <w:t xml:space="preserve">are </w:t>
      </w:r>
      <w:r>
        <w:t xml:space="preserve">proposing to stop assessing some. </w:t>
      </w:r>
      <w:r>
        <w:fldChar w:fldCharType="begin"/>
      </w:r>
      <w:r>
        <w:instrText xml:space="preserve"> REF _Ref505607624 \h </w:instrText>
      </w:r>
      <w:r>
        <w:fldChar w:fldCharType="separate"/>
      </w:r>
    </w:p>
    <w:p w:rsidR="004B76FE" w:rsidRDefault="0066787E" w:rsidP="004B76FE">
      <w:pPr>
        <w:pStyle w:val="CGCNumberedPara"/>
      </w:pPr>
      <w:r w:rsidRPr="00A66AD0">
        <w:t xml:space="preserve">Table </w:t>
      </w:r>
      <w:r>
        <w:rPr>
          <w:noProof/>
        </w:rPr>
        <w:t>1</w:t>
      </w:r>
      <w:r w:rsidR="004B76FE">
        <w:fldChar w:fldCharType="end"/>
      </w:r>
      <w:r w:rsidR="004B76FE">
        <w:t xml:space="preserve"> </w:t>
      </w:r>
      <w:r w:rsidR="004B76FE" w:rsidRPr="004B76FE">
        <w:t>summarises</w:t>
      </w:r>
      <w:r w:rsidR="004B76FE">
        <w:t xml:space="preserve"> the expenditure disabilities staff are proposing to assess in the 2020 Review.</w:t>
      </w:r>
      <w:bookmarkStart w:id="15" w:name="_Ref505607624"/>
    </w:p>
    <w:p w:rsidR="00AF5F21" w:rsidRPr="00A66AD0" w:rsidRDefault="00AF5F21" w:rsidP="00AF5F21">
      <w:pPr>
        <w:pStyle w:val="CGCTableHeading"/>
      </w:pPr>
      <w:r w:rsidRPr="00A66AD0">
        <w:lastRenderedPageBreak/>
        <w:t xml:space="preserve">Table </w:t>
      </w:r>
      <w:r w:rsidR="004A541C">
        <w:fldChar w:fldCharType="begin"/>
      </w:r>
      <w:r w:rsidR="004A541C">
        <w:instrText xml:space="preserve"> SEQ Table \* ARABIC </w:instrText>
      </w:r>
      <w:r w:rsidR="004A541C">
        <w:fldChar w:fldCharType="separate"/>
      </w:r>
      <w:r w:rsidR="0066787E">
        <w:rPr>
          <w:noProof/>
        </w:rPr>
        <w:t>1</w:t>
      </w:r>
      <w:r w:rsidR="004A541C">
        <w:rPr>
          <w:noProof/>
        </w:rPr>
        <w:fldChar w:fldCharType="end"/>
      </w:r>
      <w:bookmarkEnd w:id="15"/>
      <w:r w:rsidRPr="00A66AD0">
        <w:tab/>
        <w:t xml:space="preserve">Summary of </w:t>
      </w:r>
      <w:r w:rsidR="007E0AC4">
        <w:t xml:space="preserve">proposed </w:t>
      </w:r>
      <w:r w:rsidRPr="00A66AD0">
        <w:t xml:space="preserve">disabilities </w:t>
      </w:r>
      <w:r w:rsidR="007E0AC4">
        <w:t xml:space="preserve">to be </w:t>
      </w:r>
      <w:r w:rsidRPr="00A66AD0">
        <w:t>measured in each expen</w:t>
      </w:r>
      <w:r>
        <w:t>diture</w:t>
      </w:r>
      <w:r w:rsidRPr="00A66AD0">
        <w:t xml:space="preserve"> category (a)</w:t>
      </w:r>
    </w:p>
    <w:tbl>
      <w:tblPr>
        <w:tblW w:w="9148" w:type="dxa"/>
        <w:tblLayout w:type="fixed"/>
        <w:tblCellMar>
          <w:left w:w="0" w:type="dxa"/>
          <w:right w:w="0" w:type="dxa"/>
        </w:tblCellMar>
        <w:tblLook w:val="04A0" w:firstRow="1" w:lastRow="0" w:firstColumn="1" w:lastColumn="0" w:noHBand="0" w:noVBand="1"/>
      </w:tblPr>
      <w:tblGrid>
        <w:gridCol w:w="2313"/>
        <w:gridCol w:w="519"/>
        <w:gridCol w:w="519"/>
        <w:gridCol w:w="519"/>
        <w:gridCol w:w="22"/>
        <w:gridCol w:w="497"/>
        <w:gridCol w:w="519"/>
        <w:gridCol w:w="519"/>
        <w:gridCol w:w="44"/>
        <w:gridCol w:w="475"/>
        <w:gridCol w:w="519"/>
        <w:gridCol w:w="519"/>
        <w:gridCol w:w="66"/>
        <w:gridCol w:w="453"/>
        <w:gridCol w:w="66"/>
        <w:gridCol w:w="453"/>
        <w:gridCol w:w="519"/>
        <w:gridCol w:w="519"/>
        <w:gridCol w:w="88"/>
      </w:tblGrid>
      <w:tr w:rsidR="005D7FF9" w:rsidRPr="00A66AD0" w:rsidTr="005D7FF9">
        <w:trPr>
          <w:trHeight w:val="555"/>
        </w:trPr>
        <w:tc>
          <w:tcPr>
            <w:tcW w:w="2313" w:type="dxa"/>
            <w:tcBorders>
              <w:top w:val="single" w:sz="4" w:space="0" w:color="auto"/>
              <w:left w:val="nil"/>
              <w:bottom w:val="nil"/>
              <w:right w:val="nil"/>
            </w:tcBorders>
            <w:shd w:val="clear" w:color="auto" w:fill="auto"/>
            <w:noWrap/>
            <w:vAlign w:val="center"/>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 </w:t>
            </w:r>
          </w:p>
        </w:tc>
        <w:tc>
          <w:tcPr>
            <w:tcW w:w="1579" w:type="dxa"/>
            <w:gridSpan w:val="4"/>
            <w:tcBorders>
              <w:top w:val="single" w:sz="4" w:space="0" w:color="auto"/>
              <w:left w:val="nil"/>
              <w:bottom w:val="single" w:sz="4" w:space="0" w:color="auto"/>
              <w:right w:val="nil"/>
            </w:tcBorders>
            <w:shd w:val="clear" w:color="auto" w:fill="auto"/>
            <w:vAlign w:val="center"/>
            <w:hideMark/>
          </w:tcPr>
          <w:p w:rsidR="005D7FF9" w:rsidRPr="00A66AD0" w:rsidRDefault="005D7FF9" w:rsidP="00BD0F62">
            <w:pPr>
              <w:keepNext/>
              <w:keepLines/>
              <w:tabs>
                <w:tab w:val="clear" w:pos="567"/>
              </w:tabs>
              <w:spacing w:after="0" w:line="240" w:lineRule="auto"/>
              <w:ind w:left="193" w:hanging="142"/>
              <w:jc w:val="center"/>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Disaggregated use attributes</w:t>
            </w:r>
          </w:p>
        </w:tc>
        <w:tc>
          <w:tcPr>
            <w:tcW w:w="1579" w:type="dxa"/>
            <w:gridSpan w:val="4"/>
            <w:tcBorders>
              <w:top w:val="single" w:sz="4" w:space="0" w:color="auto"/>
              <w:left w:val="nil"/>
              <w:bottom w:val="nil"/>
              <w:right w:val="nil"/>
            </w:tcBorders>
            <w:shd w:val="clear" w:color="auto" w:fill="auto"/>
            <w:vAlign w:val="center"/>
            <w:hideMark/>
          </w:tcPr>
          <w:p w:rsidR="005D7FF9" w:rsidRPr="00A66AD0" w:rsidRDefault="005D7FF9" w:rsidP="00BD0F62">
            <w:pPr>
              <w:keepNext/>
              <w:keepLines/>
              <w:tabs>
                <w:tab w:val="clear" w:pos="567"/>
              </w:tabs>
              <w:spacing w:after="0" w:line="240" w:lineRule="auto"/>
              <w:ind w:left="193" w:hanging="142"/>
              <w:jc w:val="center"/>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 </w:t>
            </w:r>
          </w:p>
        </w:tc>
        <w:tc>
          <w:tcPr>
            <w:tcW w:w="1579" w:type="dxa"/>
            <w:gridSpan w:val="4"/>
            <w:tcBorders>
              <w:top w:val="single" w:sz="4" w:space="0" w:color="auto"/>
              <w:left w:val="nil"/>
              <w:bottom w:val="single" w:sz="4" w:space="0" w:color="auto"/>
              <w:right w:val="nil"/>
            </w:tcBorders>
            <w:shd w:val="clear" w:color="auto" w:fill="auto"/>
            <w:vAlign w:val="center"/>
            <w:hideMark/>
          </w:tcPr>
          <w:p w:rsidR="005D7FF9" w:rsidRPr="00A66AD0" w:rsidRDefault="005D7FF9" w:rsidP="00982FAE">
            <w:pPr>
              <w:keepNext/>
              <w:keepLines/>
              <w:tabs>
                <w:tab w:val="clear" w:pos="567"/>
              </w:tabs>
              <w:spacing w:after="0" w:line="240" w:lineRule="auto"/>
              <w:ind w:left="193" w:hanging="142"/>
              <w:jc w:val="right"/>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Other disabilities assessed (b)</w:t>
            </w:r>
          </w:p>
        </w:tc>
        <w:tc>
          <w:tcPr>
            <w:tcW w:w="519" w:type="dxa"/>
            <w:gridSpan w:val="2"/>
            <w:tcBorders>
              <w:top w:val="single" w:sz="4" w:space="0" w:color="auto"/>
              <w:left w:val="nil"/>
              <w:bottom w:val="single" w:sz="4" w:space="0" w:color="auto"/>
              <w:right w:val="nil"/>
            </w:tcBorders>
          </w:tcPr>
          <w:p w:rsidR="005D7FF9" w:rsidRPr="00A66AD0" w:rsidRDefault="005D7FF9" w:rsidP="00BD0F62">
            <w:pPr>
              <w:keepNext/>
              <w:keepLines/>
              <w:tabs>
                <w:tab w:val="clear" w:pos="567"/>
              </w:tabs>
              <w:spacing w:after="0" w:line="240" w:lineRule="auto"/>
              <w:ind w:left="193" w:hanging="142"/>
              <w:jc w:val="center"/>
              <w:rPr>
                <w:rFonts w:ascii="Calibri" w:eastAsia="Times New Roman" w:hAnsi="Calibri" w:cs="Times New Roman"/>
                <w:color w:val="000000"/>
                <w:sz w:val="18"/>
                <w:szCs w:val="18"/>
                <w:lang w:eastAsia="en-AU"/>
              </w:rPr>
            </w:pPr>
          </w:p>
        </w:tc>
        <w:tc>
          <w:tcPr>
            <w:tcW w:w="1579" w:type="dxa"/>
            <w:gridSpan w:val="4"/>
            <w:tcBorders>
              <w:top w:val="single" w:sz="4" w:space="0" w:color="auto"/>
              <w:left w:val="nil"/>
              <w:bottom w:val="single" w:sz="4" w:space="0" w:color="auto"/>
              <w:right w:val="nil"/>
            </w:tcBorders>
          </w:tcPr>
          <w:p w:rsidR="005D7FF9" w:rsidRPr="00A66AD0" w:rsidRDefault="005D7FF9" w:rsidP="00BD0F62">
            <w:pPr>
              <w:keepNext/>
              <w:keepLines/>
              <w:tabs>
                <w:tab w:val="clear" w:pos="567"/>
              </w:tabs>
              <w:spacing w:after="0" w:line="240" w:lineRule="auto"/>
              <w:ind w:left="193" w:hanging="142"/>
              <w:jc w:val="center"/>
              <w:rPr>
                <w:rFonts w:ascii="Calibri" w:eastAsia="Times New Roman" w:hAnsi="Calibri" w:cs="Times New Roman"/>
                <w:color w:val="000000"/>
                <w:sz w:val="18"/>
                <w:szCs w:val="18"/>
                <w:lang w:eastAsia="en-AU"/>
              </w:rPr>
            </w:pPr>
          </w:p>
        </w:tc>
      </w:tr>
      <w:tr w:rsidR="005D7FF9" w:rsidRPr="00A66AD0" w:rsidTr="005D7FF9">
        <w:trPr>
          <w:gridAfter w:val="1"/>
          <w:wAfter w:w="88" w:type="dxa"/>
          <w:trHeight w:val="1875"/>
        </w:trPr>
        <w:tc>
          <w:tcPr>
            <w:tcW w:w="2313" w:type="dxa"/>
            <w:tcBorders>
              <w:top w:val="nil"/>
              <w:left w:val="nil"/>
              <w:bottom w:val="single" w:sz="4" w:space="0" w:color="auto"/>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Category</w:t>
            </w:r>
          </w:p>
        </w:tc>
        <w:tc>
          <w:tcPr>
            <w:tcW w:w="519" w:type="dxa"/>
            <w:tcBorders>
              <w:top w:val="nil"/>
              <w:left w:val="nil"/>
              <w:bottom w:val="single" w:sz="4" w:space="0" w:color="auto"/>
              <w:right w:val="nil"/>
            </w:tcBorders>
            <w:shd w:val="clear" w:color="auto" w:fill="auto"/>
            <w:textDirection w:val="btLr"/>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Indigenous status</w:t>
            </w:r>
          </w:p>
        </w:tc>
        <w:tc>
          <w:tcPr>
            <w:tcW w:w="519" w:type="dxa"/>
            <w:tcBorders>
              <w:top w:val="nil"/>
              <w:left w:val="nil"/>
              <w:bottom w:val="single" w:sz="4" w:space="0" w:color="auto"/>
              <w:right w:val="nil"/>
            </w:tcBorders>
            <w:shd w:val="clear" w:color="auto" w:fill="auto"/>
            <w:textDirection w:val="btLr"/>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SES</w:t>
            </w:r>
          </w:p>
        </w:tc>
        <w:tc>
          <w:tcPr>
            <w:tcW w:w="519" w:type="dxa"/>
            <w:tcBorders>
              <w:top w:val="nil"/>
              <w:left w:val="nil"/>
              <w:bottom w:val="single" w:sz="4" w:space="0" w:color="auto"/>
              <w:right w:val="nil"/>
            </w:tcBorders>
            <w:shd w:val="clear" w:color="auto" w:fill="auto"/>
            <w:textDirection w:val="btLr"/>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Re</w:t>
            </w:r>
            <w:r w:rsidR="007610F7">
              <w:rPr>
                <w:rFonts w:ascii="Calibri" w:eastAsia="Times New Roman" w:hAnsi="Calibri" w:cs="Times New Roman"/>
                <w:color w:val="000000"/>
                <w:sz w:val="18"/>
                <w:szCs w:val="18"/>
                <w:lang w:eastAsia="en-AU"/>
              </w:rPr>
              <w:t>gion (d</w:t>
            </w:r>
            <w:r>
              <w:rPr>
                <w:rFonts w:ascii="Calibri" w:eastAsia="Times New Roman" w:hAnsi="Calibri" w:cs="Times New Roman"/>
                <w:color w:val="000000"/>
                <w:sz w:val="18"/>
                <w:szCs w:val="18"/>
                <w:lang w:eastAsia="en-AU"/>
              </w:rPr>
              <w:t>)</w:t>
            </w:r>
          </w:p>
        </w:tc>
        <w:tc>
          <w:tcPr>
            <w:tcW w:w="519" w:type="dxa"/>
            <w:gridSpan w:val="2"/>
            <w:tcBorders>
              <w:top w:val="nil"/>
              <w:left w:val="nil"/>
              <w:bottom w:val="single" w:sz="4" w:space="0" w:color="auto"/>
              <w:right w:val="nil"/>
            </w:tcBorders>
            <w:shd w:val="clear" w:color="auto" w:fill="auto"/>
            <w:textDirection w:val="btLr"/>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Age</w:t>
            </w:r>
          </w:p>
        </w:tc>
        <w:tc>
          <w:tcPr>
            <w:tcW w:w="519" w:type="dxa"/>
            <w:tcBorders>
              <w:top w:val="nil"/>
              <w:left w:val="nil"/>
              <w:bottom w:val="single" w:sz="4" w:space="0" w:color="auto"/>
              <w:right w:val="nil"/>
            </w:tcBorders>
            <w:shd w:val="clear" w:color="auto" w:fill="auto"/>
            <w:textDirection w:val="btLr"/>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Population growth</w:t>
            </w:r>
          </w:p>
        </w:tc>
        <w:tc>
          <w:tcPr>
            <w:tcW w:w="519" w:type="dxa"/>
            <w:tcBorders>
              <w:top w:val="nil"/>
              <w:left w:val="nil"/>
              <w:bottom w:val="single" w:sz="4" w:space="0" w:color="auto"/>
              <w:right w:val="nil"/>
            </w:tcBorders>
            <w:shd w:val="clear" w:color="auto" w:fill="auto"/>
            <w:textDirection w:val="btLr"/>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Non-State sector</w:t>
            </w:r>
          </w:p>
        </w:tc>
        <w:tc>
          <w:tcPr>
            <w:tcW w:w="519" w:type="dxa"/>
            <w:gridSpan w:val="2"/>
            <w:tcBorders>
              <w:top w:val="nil"/>
              <w:left w:val="nil"/>
              <w:bottom w:val="single" w:sz="4" w:space="0" w:color="auto"/>
              <w:right w:val="nil"/>
            </w:tcBorders>
            <w:shd w:val="clear" w:color="auto" w:fill="auto"/>
            <w:textDirection w:val="btLr"/>
            <w:hideMark/>
          </w:tcPr>
          <w:p w:rsidR="005D7FF9" w:rsidRPr="00A66AD0" w:rsidRDefault="005D7FF9" w:rsidP="00BD0F62">
            <w:pPr>
              <w:keepNext/>
              <w:keepLines/>
              <w:tabs>
                <w:tab w:val="clear" w:pos="567"/>
              </w:tabs>
              <w:spacing w:after="0" w:line="240" w:lineRule="auto"/>
              <w:ind w:left="113"/>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Wage costs</w:t>
            </w:r>
          </w:p>
        </w:tc>
        <w:tc>
          <w:tcPr>
            <w:tcW w:w="519" w:type="dxa"/>
            <w:tcBorders>
              <w:top w:val="nil"/>
              <w:left w:val="nil"/>
              <w:bottom w:val="single" w:sz="4" w:space="0" w:color="auto"/>
              <w:right w:val="nil"/>
            </w:tcBorders>
            <w:shd w:val="clear" w:color="auto" w:fill="auto"/>
            <w:textDirection w:val="btLr"/>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Regional costs</w:t>
            </w:r>
          </w:p>
        </w:tc>
        <w:tc>
          <w:tcPr>
            <w:tcW w:w="519" w:type="dxa"/>
            <w:tcBorders>
              <w:top w:val="nil"/>
              <w:left w:val="nil"/>
              <w:bottom w:val="single" w:sz="4" w:space="0" w:color="auto"/>
              <w:right w:val="nil"/>
            </w:tcBorders>
            <w:shd w:val="clear" w:color="auto" w:fill="auto"/>
            <w:textDirection w:val="btLr"/>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Service delivery scale</w:t>
            </w:r>
          </w:p>
        </w:tc>
        <w:tc>
          <w:tcPr>
            <w:tcW w:w="519" w:type="dxa"/>
            <w:gridSpan w:val="2"/>
            <w:tcBorders>
              <w:top w:val="nil"/>
              <w:left w:val="nil"/>
              <w:bottom w:val="single" w:sz="4" w:space="0" w:color="auto"/>
              <w:right w:val="nil"/>
            </w:tcBorders>
            <w:shd w:val="clear" w:color="auto" w:fill="auto"/>
            <w:textDirection w:val="btLr"/>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National capital</w:t>
            </w:r>
          </w:p>
        </w:tc>
        <w:tc>
          <w:tcPr>
            <w:tcW w:w="519" w:type="dxa"/>
            <w:gridSpan w:val="2"/>
            <w:tcBorders>
              <w:top w:val="nil"/>
              <w:left w:val="nil"/>
              <w:bottom w:val="single" w:sz="4" w:space="0" w:color="auto"/>
              <w:right w:val="nil"/>
            </w:tcBorders>
            <w:shd w:val="clear" w:color="auto" w:fill="auto"/>
            <w:textDirection w:val="btLr"/>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Cross-border</w:t>
            </w:r>
          </w:p>
        </w:tc>
        <w:tc>
          <w:tcPr>
            <w:tcW w:w="519" w:type="dxa"/>
            <w:tcBorders>
              <w:top w:val="nil"/>
              <w:left w:val="nil"/>
              <w:bottom w:val="single" w:sz="4" w:space="0" w:color="auto"/>
              <w:right w:val="nil"/>
            </w:tcBorders>
            <w:textDirection w:val="btLr"/>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Natural disaster</w:t>
            </w:r>
          </w:p>
        </w:tc>
        <w:tc>
          <w:tcPr>
            <w:tcW w:w="519" w:type="dxa"/>
            <w:tcBorders>
              <w:top w:val="nil"/>
              <w:left w:val="nil"/>
              <w:bottom w:val="single" w:sz="4" w:space="0" w:color="auto"/>
              <w:right w:val="nil"/>
            </w:tcBorders>
            <w:textDirection w:val="btLr"/>
          </w:tcPr>
          <w:p w:rsidR="005D7FF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Other</w:t>
            </w:r>
          </w:p>
        </w:tc>
      </w:tr>
      <w:tr w:rsidR="005D7FF9" w:rsidRPr="00A66AD0" w:rsidTr="005D7FF9">
        <w:trPr>
          <w:gridAfter w:val="1"/>
          <w:wAfter w:w="88" w:type="dxa"/>
          <w:cantSplit/>
          <w:trHeight w:val="315"/>
        </w:trPr>
        <w:tc>
          <w:tcPr>
            <w:tcW w:w="2313"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Schools education</w:t>
            </w: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811086">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811086">
              <w:rPr>
                <w:rFonts w:ascii="Calibri" w:eastAsia="Times New Roman" w:hAnsi="Calibri" w:cs="Times New Roman"/>
                <w:color w:val="000000"/>
                <w:sz w:val="18"/>
                <w:szCs w:val="18"/>
                <w:lang w:eastAsia="en-AU"/>
              </w:rPr>
              <w:sym w:font="Wingdings" w:char="F0FC"/>
            </w:r>
          </w:p>
        </w:tc>
        <w:tc>
          <w:tcPr>
            <w:tcW w:w="519" w:type="dxa"/>
            <w:gridSpan w:val="2"/>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gridSpan w:val="2"/>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gridSpan w:val="2"/>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r>
      <w:tr w:rsidR="005D7FF9" w:rsidRPr="00A66AD0" w:rsidTr="005D7FF9">
        <w:trPr>
          <w:gridAfter w:val="1"/>
          <w:wAfter w:w="88" w:type="dxa"/>
          <w:cantSplit/>
          <w:trHeight w:val="315"/>
        </w:trPr>
        <w:tc>
          <w:tcPr>
            <w:tcW w:w="2313"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Post-secondary education</w:t>
            </w:r>
          </w:p>
        </w:tc>
        <w:tc>
          <w:tcPr>
            <w:tcW w:w="519"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811086">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811086">
              <w:rPr>
                <w:rFonts w:ascii="Calibri" w:eastAsia="Times New Roman" w:hAnsi="Calibri" w:cs="Times New Roman"/>
                <w:color w:val="000000"/>
                <w:sz w:val="18"/>
                <w:szCs w:val="18"/>
                <w:lang w:eastAsia="en-AU"/>
              </w:rPr>
              <w:sym w:font="Wingdings" w:char="F0FC"/>
            </w:r>
          </w:p>
        </w:tc>
        <w:tc>
          <w:tcPr>
            <w:tcW w:w="519" w:type="dxa"/>
            <w:gridSpan w:val="2"/>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r>
      <w:tr w:rsidR="005D7FF9" w:rsidRPr="00A66AD0" w:rsidTr="005D7FF9">
        <w:trPr>
          <w:gridAfter w:val="1"/>
          <w:wAfter w:w="88" w:type="dxa"/>
          <w:cantSplit/>
          <w:trHeight w:val="315"/>
        </w:trPr>
        <w:tc>
          <w:tcPr>
            <w:tcW w:w="2313"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Health</w:t>
            </w: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811086">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811086">
              <w:rPr>
                <w:rFonts w:ascii="Calibri" w:eastAsia="Times New Roman" w:hAnsi="Calibri" w:cs="Times New Roman"/>
                <w:color w:val="000000"/>
                <w:sz w:val="18"/>
                <w:szCs w:val="18"/>
                <w:lang w:eastAsia="en-AU"/>
              </w:rPr>
              <w:sym w:font="Wingdings" w:char="F0FC"/>
            </w:r>
          </w:p>
        </w:tc>
        <w:tc>
          <w:tcPr>
            <w:tcW w:w="519" w:type="dxa"/>
            <w:gridSpan w:val="2"/>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gridSpan w:val="2"/>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A66AD0" w:rsidRDefault="005063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gridSpan w:val="2"/>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r>
      <w:tr w:rsidR="005D7FF9" w:rsidRPr="00A66AD0" w:rsidTr="005D7FF9">
        <w:trPr>
          <w:gridAfter w:val="1"/>
          <w:wAfter w:w="88" w:type="dxa"/>
          <w:cantSplit/>
          <w:trHeight w:val="315"/>
        </w:trPr>
        <w:tc>
          <w:tcPr>
            <w:tcW w:w="2313"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Welfare</w:t>
            </w: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811086">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811086">
              <w:rPr>
                <w:rFonts w:ascii="Calibri" w:eastAsia="Times New Roman" w:hAnsi="Calibri" w:cs="Times New Roman"/>
                <w:color w:val="000000"/>
                <w:sz w:val="18"/>
                <w:szCs w:val="18"/>
                <w:lang w:eastAsia="en-AU"/>
              </w:rPr>
              <w:sym w:font="Wingdings" w:char="F0FC"/>
            </w:r>
          </w:p>
        </w:tc>
        <w:tc>
          <w:tcPr>
            <w:tcW w:w="519" w:type="dxa"/>
            <w:gridSpan w:val="2"/>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gridSpan w:val="2"/>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X</w:t>
            </w:r>
          </w:p>
        </w:tc>
        <w:tc>
          <w:tcPr>
            <w:tcW w:w="519" w:type="dxa"/>
            <w:tcBorders>
              <w:top w:val="nil"/>
              <w:left w:val="nil"/>
              <w:bottom w:val="nil"/>
              <w:right w:val="nil"/>
            </w:tcBorders>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r>
      <w:tr w:rsidR="005D7FF9" w:rsidRPr="00A66AD0" w:rsidTr="005D7FF9">
        <w:trPr>
          <w:gridAfter w:val="1"/>
          <w:wAfter w:w="88" w:type="dxa"/>
          <w:cantSplit/>
          <w:trHeight w:val="315"/>
        </w:trPr>
        <w:tc>
          <w:tcPr>
            <w:tcW w:w="2313"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Housing</w:t>
            </w: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811086">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811086">
              <w:rPr>
                <w:rFonts w:ascii="Calibri" w:eastAsia="Times New Roman" w:hAnsi="Calibri" w:cs="Times New Roman"/>
                <w:color w:val="000000"/>
                <w:sz w:val="18"/>
                <w:szCs w:val="18"/>
                <w:lang w:eastAsia="en-AU"/>
              </w:rPr>
              <w:sym w:font="Wingdings" w:char="F0FC"/>
            </w:r>
          </w:p>
        </w:tc>
        <w:tc>
          <w:tcPr>
            <w:tcW w:w="519" w:type="dxa"/>
            <w:gridSpan w:val="2"/>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r>
      <w:tr w:rsidR="005D7FF9" w:rsidRPr="00A66AD0" w:rsidTr="005D7FF9">
        <w:trPr>
          <w:gridAfter w:val="1"/>
          <w:wAfter w:w="88" w:type="dxa"/>
          <w:cantSplit/>
          <w:trHeight w:val="315"/>
        </w:trPr>
        <w:tc>
          <w:tcPr>
            <w:tcW w:w="2313"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Services to communities</w:t>
            </w:r>
          </w:p>
        </w:tc>
        <w:tc>
          <w:tcPr>
            <w:tcW w:w="519"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gridSpan w:val="2"/>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hideMark/>
          </w:tcPr>
          <w:p w:rsidR="005D7FF9" w:rsidRPr="00A66AD0" w:rsidRDefault="005063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gridSpan w:val="2"/>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r>
      <w:tr w:rsidR="005D7FF9" w:rsidRPr="00A66AD0" w:rsidTr="005D7FF9">
        <w:trPr>
          <w:gridAfter w:val="1"/>
          <w:wAfter w:w="88" w:type="dxa"/>
          <w:cantSplit/>
          <w:trHeight w:val="315"/>
        </w:trPr>
        <w:tc>
          <w:tcPr>
            <w:tcW w:w="2313" w:type="dxa"/>
            <w:tcBorders>
              <w:top w:val="nil"/>
              <w:left w:val="nil"/>
              <w:bottom w:val="nil"/>
              <w:right w:val="nil"/>
            </w:tcBorders>
            <w:shd w:val="clear" w:color="auto" w:fill="auto"/>
            <w:hideMark/>
          </w:tcPr>
          <w:p w:rsidR="005D7FF9" w:rsidRPr="00A66AD0" w:rsidRDefault="005D7FF9" w:rsidP="00BD0F62">
            <w:pPr>
              <w:keepNext/>
              <w:keepLines/>
              <w:tabs>
                <w:tab w:val="clear" w:pos="567"/>
                <w:tab w:val="right" w:pos="2036"/>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Justice</w:t>
            </w: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A66AD0" w:rsidRDefault="0018744F"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E</w:t>
            </w:r>
          </w:p>
        </w:tc>
        <w:tc>
          <w:tcPr>
            <w:tcW w:w="519" w:type="dxa"/>
            <w:gridSpan w:val="2"/>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gridSpan w:val="2"/>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gridSpan w:val="2"/>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r>
      <w:tr w:rsidR="005D7FF9" w:rsidRPr="00A66AD0" w:rsidTr="005D7FF9">
        <w:trPr>
          <w:gridAfter w:val="1"/>
          <w:wAfter w:w="88" w:type="dxa"/>
          <w:cantSplit/>
          <w:trHeight w:val="317"/>
        </w:trPr>
        <w:tc>
          <w:tcPr>
            <w:tcW w:w="2313"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Services to industry</w:t>
            </w: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r w:rsidR="007610F7">
              <w:rPr>
                <w:rFonts w:ascii="Calibri" w:eastAsia="Times New Roman" w:hAnsi="Calibri" w:cs="Times New Roman"/>
                <w:color w:val="000000"/>
                <w:sz w:val="18"/>
                <w:szCs w:val="18"/>
                <w:lang w:eastAsia="en-AU"/>
              </w:rPr>
              <w:t xml:space="preserve"> (e</w:t>
            </w:r>
            <w:r>
              <w:rPr>
                <w:rFonts w:ascii="Calibri" w:eastAsia="Times New Roman" w:hAnsi="Calibri" w:cs="Times New Roman"/>
                <w:color w:val="000000"/>
                <w:sz w:val="18"/>
                <w:szCs w:val="18"/>
                <w:lang w:eastAsia="en-AU"/>
              </w:rPr>
              <w:t>)</w:t>
            </w:r>
          </w:p>
        </w:tc>
      </w:tr>
      <w:tr w:rsidR="005D7FF9" w:rsidRPr="00A66AD0" w:rsidTr="005D7FF9">
        <w:trPr>
          <w:gridAfter w:val="1"/>
          <w:wAfter w:w="88" w:type="dxa"/>
          <w:cantSplit/>
          <w:trHeight w:val="315"/>
        </w:trPr>
        <w:tc>
          <w:tcPr>
            <w:tcW w:w="2313"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Roads</w:t>
            </w: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gridSpan w:val="2"/>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tcPr>
          <w:p w:rsidR="005D7FF9" w:rsidRPr="00A66AD0" w:rsidRDefault="005D7FF9" w:rsidP="005D7FF9">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r w:rsidR="007610F7">
              <w:rPr>
                <w:rFonts w:ascii="Calibri" w:eastAsia="Times New Roman" w:hAnsi="Calibri" w:cs="Times New Roman"/>
                <w:color w:val="000000"/>
                <w:sz w:val="18"/>
                <w:szCs w:val="18"/>
                <w:lang w:eastAsia="en-AU"/>
              </w:rPr>
              <w:t xml:space="preserve"> (f</w:t>
            </w:r>
            <w:r>
              <w:rPr>
                <w:rFonts w:ascii="Calibri" w:eastAsia="Times New Roman" w:hAnsi="Calibri" w:cs="Times New Roman"/>
                <w:color w:val="000000"/>
                <w:sz w:val="18"/>
                <w:szCs w:val="18"/>
                <w:lang w:eastAsia="en-AU"/>
              </w:rPr>
              <w:t>)</w:t>
            </w:r>
          </w:p>
        </w:tc>
      </w:tr>
      <w:tr w:rsidR="005D7FF9" w:rsidRPr="00A66AD0" w:rsidTr="005D7FF9">
        <w:trPr>
          <w:gridAfter w:val="1"/>
          <w:wAfter w:w="88" w:type="dxa"/>
          <w:cantSplit/>
          <w:trHeight w:val="315"/>
        </w:trPr>
        <w:tc>
          <w:tcPr>
            <w:tcW w:w="2313" w:type="dxa"/>
            <w:tcBorders>
              <w:top w:val="nil"/>
              <w:left w:val="nil"/>
              <w:bottom w:val="nil"/>
              <w:right w:val="nil"/>
            </w:tcBorders>
            <w:shd w:val="clear" w:color="auto" w:fill="auto"/>
            <w:hideMark/>
          </w:tcPr>
          <w:p w:rsidR="005D7FF9" w:rsidRPr="00A66AD0" w:rsidRDefault="005D7FF9" w:rsidP="007610F7">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 xml:space="preserve">Transport </w:t>
            </w: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gridSpan w:val="2"/>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tcPr>
          <w:p w:rsidR="005D7FF9" w:rsidRPr="00A66AD0" w:rsidRDefault="007610F7"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r>
              <w:rPr>
                <w:rFonts w:ascii="Calibri" w:eastAsia="Times New Roman" w:hAnsi="Calibri" w:cs="Times New Roman"/>
                <w:color w:val="000000"/>
                <w:sz w:val="18"/>
                <w:szCs w:val="18"/>
                <w:lang w:eastAsia="en-AU"/>
              </w:rPr>
              <w:t xml:space="preserve"> (g</w:t>
            </w:r>
            <w:r w:rsidR="006253F4">
              <w:rPr>
                <w:rFonts w:ascii="Calibri" w:eastAsia="Times New Roman" w:hAnsi="Calibri" w:cs="Times New Roman"/>
                <w:color w:val="000000"/>
                <w:sz w:val="18"/>
                <w:szCs w:val="18"/>
                <w:lang w:eastAsia="en-AU"/>
              </w:rPr>
              <w:t>)</w:t>
            </w:r>
          </w:p>
        </w:tc>
      </w:tr>
      <w:tr w:rsidR="005D7FF9" w:rsidRPr="00A66AD0" w:rsidTr="005D7FF9">
        <w:trPr>
          <w:gridAfter w:val="1"/>
          <w:wAfter w:w="88" w:type="dxa"/>
          <w:cantSplit/>
          <w:trHeight w:val="315"/>
        </w:trPr>
        <w:tc>
          <w:tcPr>
            <w:tcW w:w="2313"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Other expenses</w:t>
            </w: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noWrap/>
            <w:hideMark/>
          </w:tcPr>
          <w:p w:rsidR="005D7FF9" w:rsidRPr="00A66AD0" w:rsidRDefault="005063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X</w:t>
            </w:r>
          </w:p>
        </w:tc>
        <w:tc>
          <w:tcPr>
            <w:tcW w:w="519" w:type="dxa"/>
            <w:tcBorders>
              <w:top w:val="nil"/>
              <w:left w:val="nil"/>
              <w:bottom w:val="nil"/>
              <w:right w:val="nil"/>
            </w:tcBorders>
            <w:shd w:val="clear" w:color="auto" w:fill="auto"/>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F7412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4A25DD">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X</w:t>
            </w:r>
          </w:p>
        </w:tc>
        <w:tc>
          <w:tcPr>
            <w:tcW w:w="519" w:type="dxa"/>
            <w:gridSpan w:val="2"/>
            <w:tcBorders>
              <w:top w:val="nil"/>
              <w:left w:val="nil"/>
              <w:bottom w:val="nil"/>
              <w:right w:val="nil"/>
            </w:tcBorders>
            <w:shd w:val="clear" w:color="auto" w:fill="auto"/>
            <w:noWrap/>
            <w:hideMark/>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X</w:t>
            </w:r>
          </w:p>
        </w:tc>
        <w:tc>
          <w:tcPr>
            <w:tcW w:w="519" w:type="dxa"/>
            <w:tcBorders>
              <w:top w:val="nil"/>
              <w:left w:val="nil"/>
              <w:bottom w:val="nil"/>
              <w:right w:val="nil"/>
            </w:tcBorders>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tcPr>
          <w:p w:rsidR="005D7FF9"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r>
      <w:tr w:rsidR="005D7FF9" w:rsidRPr="00A66AD0" w:rsidTr="005D7FF9">
        <w:trPr>
          <w:gridAfter w:val="1"/>
          <w:wAfter w:w="88" w:type="dxa"/>
          <w:cantSplit/>
          <w:trHeight w:val="315"/>
        </w:trPr>
        <w:tc>
          <w:tcPr>
            <w:tcW w:w="2313" w:type="dxa"/>
            <w:tcBorders>
              <w:top w:val="nil"/>
              <w:left w:val="nil"/>
              <w:bottom w:val="nil"/>
              <w:right w:val="nil"/>
            </w:tcBorders>
            <w:shd w:val="clear" w:color="auto" w:fill="auto"/>
          </w:tcPr>
          <w:p w:rsidR="005D7FF9" w:rsidRPr="00A66AD0" w:rsidRDefault="005D7FF9" w:rsidP="007610F7">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Investment (</w:t>
            </w:r>
            <w:r w:rsidR="007610F7">
              <w:rPr>
                <w:rFonts w:ascii="Calibri" w:eastAsia="Times New Roman" w:hAnsi="Calibri" w:cs="Times New Roman"/>
                <w:color w:val="000000"/>
                <w:sz w:val="18"/>
                <w:szCs w:val="18"/>
                <w:lang w:eastAsia="en-AU"/>
              </w:rPr>
              <w:t>c)</w:t>
            </w:r>
          </w:p>
        </w:tc>
        <w:tc>
          <w:tcPr>
            <w:tcW w:w="519" w:type="dxa"/>
            <w:tcBorders>
              <w:top w:val="nil"/>
              <w:left w:val="nil"/>
              <w:bottom w:val="nil"/>
              <w:right w:val="nil"/>
            </w:tcBorders>
            <w:shd w:val="clear" w:color="auto" w:fill="auto"/>
            <w:noWrap/>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noWrap/>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noWrap/>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shd w:val="clear" w:color="auto" w:fill="auto"/>
            <w:noWrap/>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noWrap/>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tcBorders>
              <w:top w:val="nil"/>
              <w:left w:val="nil"/>
              <w:bottom w:val="nil"/>
              <w:right w:val="nil"/>
            </w:tcBorders>
            <w:shd w:val="clear" w:color="auto" w:fill="auto"/>
            <w:noWrap/>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noWrap/>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nil"/>
              <w:right w:val="nil"/>
            </w:tcBorders>
            <w:shd w:val="clear" w:color="auto" w:fill="auto"/>
            <w:noWrap/>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nil"/>
              <w:right w:val="nil"/>
            </w:tcBorders>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r>
      <w:tr w:rsidR="005D7FF9" w:rsidRPr="00A66AD0" w:rsidTr="005D7FF9">
        <w:trPr>
          <w:gridAfter w:val="1"/>
          <w:wAfter w:w="88" w:type="dxa"/>
          <w:cantSplit/>
          <w:trHeight w:val="315"/>
        </w:trPr>
        <w:tc>
          <w:tcPr>
            <w:tcW w:w="2313" w:type="dxa"/>
            <w:tcBorders>
              <w:top w:val="nil"/>
              <w:left w:val="nil"/>
              <w:bottom w:val="single" w:sz="4" w:space="0" w:color="auto"/>
              <w:right w:val="nil"/>
            </w:tcBorders>
            <w:shd w:val="clear" w:color="auto" w:fill="auto"/>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sidRPr="00A66AD0">
              <w:rPr>
                <w:rFonts w:ascii="Calibri" w:eastAsia="Times New Roman" w:hAnsi="Calibri" w:cs="Times New Roman"/>
                <w:color w:val="000000"/>
                <w:sz w:val="18"/>
                <w:szCs w:val="18"/>
                <w:lang w:eastAsia="en-AU"/>
              </w:rPr>
              <w:t>Net borrowing</w:t>
            </w:r>
          </w:p>
        </w:tc>
        <w:tc>
          <w:tcPr>
            <w:tcW w:w="519" w:type="dxa"/>
            <w:tcBorders>
              <w:top w:val="nil"/>
              <w:left w:val="nil"/>
              <w:bottom w:val="single" w:sz="4" w:space="0" w:color="auto"/>
              <w:right w:val="nil"/>
            </w:tcBorders>
            <w:shd w:val="clear" w:color="auto" w:fill="auto"/>
            <w:noWrap/>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single" w:sz="4" w:space="0" w:color="auto"/>
              <w:right w:val="nil"/>
            </w:tcBorders>
            <w:shd w:val="clear" w:color="auto" w:fill="auto"/>
            <w:noWrap/>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single" w:sz="4" w:space="0" w:color="auto"/>
              <w:right w:val="nil"/>
            </w:tcBorders>
            <w:shd w:val="clear" w:color="auto" w:fill="auto"/>
            <w:noWrap/>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single" w:sz="4" w:space="0" w:color="auto"/>
              <w:right w:val="nil"/>
            </w:tcBorders>
            <w:shd w:val="clear" w:color="auto" w:fill="auto"/>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single" w:sz="4" w:space="0" w:color="auto"/>
              <w:right w:val="nil"/>
            </w:tcBorders>
            <w:shd w:val="clear" w:color="auto" w:fill="auto"/>
            <w:noWrap/>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sym w:font="Wingdings" w:char="F0FC"/>
            </w:r>
          </w:p>
        </w:tc>
        <w:tc>
          <w:tcPr>
            <w:tcW w:w="519" w:type="dxa"/>
            <w:tcBorders>
              <w:top w:val="nil"/>
              <w:left w:val="nil"/>
              <w:bottom w:val="single" w:sz="4" w:space="0" w:color="auto"/>
              <w:right w:val="nil"/>
            </w:tcBorders>
            <w:shd w:val="clear" w:color="auto" w:fill="auto"/>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single" w:sz="4" w:space="0" w:color="auto"/>
              <w:right w:val="nil"/>
            </w:tcBorders>
            <w:shd w:val="clear" w:color="auto" w:fill="auto"/>
            <w:noWrap/>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single" w:sz="4" w:space="0" w:color="auto"/>
              <w:right w:val="nil"/>
            </w:tcBorders>
            <w:shd w:val="clear" w:color="auto" w:fill="auto"/>
            <w:noWrap/>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single" w:sz="4" w:space="0" w:color="auto"/>
              <w:right w:val="nil"/>
            </w:tcBorders>
            <w:shd w:val="clear" w:color="auto" w:fill="auto"/>
            <w:noWrap/>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single" w:sz="4" w:space="0" w:color="auto"/>
              <w:right w:val="nil"/>
            </w:tcBorders>
            <w:shd w:val="clear" w:color="auto" w:fill="auto"/>
            <w:noWrap/>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gridSpan w:val="2"/>
            <w:tcBorders>
              <w:top w:val="nil"/>
              <w:left w:val="nil"/>
              <w:bottom w:val="single" w:sz="4" w:space="0" w:color="auto"/>
              <w:right w:val="nil"/>
            </w:tcBorders>
            <w:shd w:val="clear" w:color="auto" w:fill="auto"/>
            <w:noWrap/>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single" w:sz="4" w:space="0" w:color="auto"/>
              <w:right w:val="nil"/>
            </w:tcBorders>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c>
          <w:tcPr>
            <w:tcW w:w="519" w:type="dxa"/>
            <w:tcBorders>
              <w:top w:val="nil"/>
              <w:left w:val="nil"/>
              <w:bottom w:val="single" w:sz="4" w:space="0" w:color="auto"/>
              <w:right w:val="nil"/>
            </w:tcBorders>
          </w:tcPr>
          <w:p w:rsidR="005D7FF9" w:rsidRPr="00A66AD0" w:rsidRDefault="005D7FF9" w:rsidP="00BD0F62">
            <w:pPr>
              <w:keepNext/>
              <w:keepLines/>
              <w:tabs>
                <w:tab w:val="clear" w:pos="567"/>
              </w:tabs>
              <w:spacing w:after="0" w:line="240" w:lineRule="auto"/>
              <w:ind w:left="193" w:hanging="142"/>
              <w:rPr>
                <w:rFonts w:ascii="Calibri" w:eastAsia="Times New Roman" w:hAnsi="Calibri" w:cs="Times New Roman"/>
                <w:color w:val="000000"/>
                <w:sz w:val="18"/>
                <w:szCs w:val="18"/>
                <w:lang w:eastAsia="en-AU"/>
              </w:rPr>
            </w:pPr>
          </w:p>
        </w:tc>
      </w:tr>
    </w:tbl>
    <w:p w:rsidR="00AF5F21" w:rsidRDefault="00AF5F21" w:rsidP="00AF5F21">
      <w:pPr>
        <w:pStyle w:val="FootnoteText"/>
        <w:keepNext/>
        <w:keepLines/>
      </w:pPr>
      <w:r>
        <w:t xml:space="preserve">Note: </w:t>
      </w:r>
      <w:r>
        <w:tab/>
      </w:r>
      <w:r>
        <w:rPr>
          <w:rFonts w:ascii="Calibri" w:eastAsia="Times New Roman" w:hAnsi="Calibri" w:cs="Times New Roman"/>
          <w:color w:val="000000"/>
          <w:sz w:val="18"/>
          <w:szCs w:val="18"/>
          <w:lang w:eastAsia="en-AU"/>
        </w:rPr>
        <w:sym w:font="Wingdings" w:char="F0FC"/>
      </w:r>
      <w:r>
        <w:rPr>
          <w:rFonts w:ascii="Calibri" w:eastAsia="Times New Roman" w:hAnsi="Calibri" w:cs="Times New Roman"/>
          <w:color w:val="000000"/>
          <w:sz w:val="18"/>
          <w:szCs w:val="18"/>
          <w:lang w:eastAsia="en-AU"/>
        </w:rPr>
        <w:t xml:space="preserve"> </w:t>
      </w:r>
      <w:r w:rsidRPr="007F066D">
        <w:t xml:space="preserve">means </w:t>
      </w:r>
      <w:r>
        <w:t xml:space="preserve">2015 Review disabilities retained, X means 2015 Review disabilities ceased, </w:t>
      </w:r>
      <w:r w:rsidR="0018744F">
        <w:t>E</w:t>
      </w:r>
      <w:r>
        <w:t xml:space="preserve"> means </w:t>
      </w:r>
      <w:r w:rsidR="0018744F">
        <w:t>staff propose to extend the remoteness di</w:t>
      </w:r>
      <w:r>
        <w:t>sabilit</w:t>
      </w:r>
      <w:r w:rsidR="0018744F">
        <w:t>y to the Justice assessment</w:t>
      </w:r>
      <w:r>
        <w:t xml:space="preserve">. </w:t>
      </w:r>
    </w:p>
    <w:p w:rsidR="00AF5F21" w:rsidRPr="00A66AD0" w:rsidRDefault="00AF5F21" w:rsidP="00AF5F21">
      <w:pPr>
        <w:pStyle w:val="FootnoteText"/>
        <w:keepNext/>
        <w:keepLines/>
      </w:pPr>
      <w:r w:rsidRPr="00A66AD0">
        <w:t>(a)</w:t>
      </w:r>
      <w:r w:rsidRPr="00A66AD0">
        <w:tab/>
        <w:t xml:space="preserve">Administrative scale costs and native title and land rights disabilities for all categories </w:t>
      </w:r>
      <w:r w:rsidR="0066787E">
        <w:t>a</w:t>
      </w:r>
      <w:r w:rsidRPr="00A66AD0">
        <w:t xml:space="preserve">re assessed in the </w:t>
      </w:r>
      <w:proofErr w:type="gramStart"/>
      <w:r w:rsidRPr="00A66AD0">
        <w:t>Other</w:t>
      </w:r>
      <w:proofErr w:type="gramEnd"/>
      <w:r w:rsidRPr="00A66AD0">
        <w:t xml:space="preserve"> expenses category. </w:t>
      </w:r>
    </w:p>
    <w:p w:rsidR="00AF5F21" w:rsidRPr="00A66AD0" w:rsidRDefault="00AF5F21" w:rsidP="00AF5F21">
      <w:pPr>
        <w:pStyle w:val="FootnoteText"/>
        <w:keepNext/>
        <w:keepLines/>
      </w:pPr>
      <w:r w:rsidRPr="00A66AD0">
        <w:t>(b)</w:t>
      </w:r>
      <w:r w:rsidRPr="00A66AD0">
        <w:tab/>
        <w:t xml:space="preserve">Some disabilities only apply to a proportion of the category. For more information, please refer to each category </w:t>
      </w:r>
      <w:r w:rsidR="005063F9">
        <w:t xml:space="preserve">draft </w:t>
      </w:r>
      <w:r w:rsidRPr="00A66AD0">
        <w:t xml:space="preserve">assessment </w:t>
      </w:r>
      <w:r w:rsidR="005063F9">
        <w:t>paper</w:t>
      </w:r>
      <w:r w:rsidRPr="00A66AD0">
        <w:t xml:space="preserve">. </w:t>
      </w:r>
    </w:p>
    <w:p w:rsidR="00AF5F21" w:rsidRDefault="00AF5F21" w:rsidP="00AF5F21">
      <w:pPr>
        <w:pStyle w:val="FootnoteText"/>
        <w:keepNext/>
        <w:keepLines/>
      </w:pPr>
      <w:r>
        <w:t>(</w:t>
      </w:r>
      <w:r w:rsidR="007610F7">
        <w:t>c</w:t>
      </w:r>
      <w:r>
        <w:t>)</w:t>
      </w:r>
      <w:r>
        <w:tab/>
      </w:r>
      <w:r w:rsidRPr="00A66AD0">
        <w:t xml:space="preserve">The </w:t>
      </w:r>
      <w:r w:rsidR="006B37CD">
        <w:t>Investment</w:t>
      </w:r>
      <w:r w:rsidRPr="00A66AD0">
        <w:t xml:space="preserve"> assessment use</w:t>
      </w:r>
      <w:r w:rsidR="006B37CD">
        <w:t>s</w:t>
      </w:r>
      <w:r w:rsidRPr="00A66AD0">
        <w:t xml:space="preserve"> relevant category specific use disabilities to calculate assessed stock. A capital cost disability is also applied. The disabilities used are described in the </w:t>
      </w:r>
      <w:r w:rsidR="005063F9">
        <w:t>Physical and financial assets</w:t>
      </w:r>
      <w:r w:rsidRPr="00A66AD0">
        <w:t xml:space="preserve"> </w:t>
      </w:r>
      <w:r w:rsidR="005063F9">
        <w:t xml:space="preserve">draft </w:t>
      </w:r>
      <w:r w:rsidR="005063F9" w:rsidRPr="00A66AD0">
        <w:t xml:space="preserve">assessment </w:t>
      </w:r>
      <w:r w:rsidR="005063F9">
        <w:t>paper</w:t>
      </w:r>
      <w:r w:rsidRPr="00A66AD0">
        <w:t>.</w:t>
      </w:r>
    </w:p>
    <w:p w:rsidR="00982FAE" w:rsidRDefault="00982FAE" w:rsidP="00AF5F21">
      <w:pPr>
        <w:pStyle w:val="FootnoteText"/>
        <w:keepNext/>
        <w:keepLines/>
      </w:pPr>
      <w:r>
        <w:t>(</w:t>
      </w:r>
      <w:r w:rsidR="007610F7">
        <w:t>d</w:t>
      </w:r>
      <w:r>
        <w:t xml:space="preserve">) </w:t>
      </w:r>
      <w:r>
        <w:tab/>
      </w:r>
      <w:r w:rsidR="006C2658">
        <w:t xml:space="preserve">The </w:t>
      </w:r>
      <w:r w:rsidR="00DC2ADB">
        <w:t xml:space="preserve">effect of the </w:t>
      </w:r>
      <w:r w:rsidR="005D7FF9">
        <w:t>use of services and unit cost of providing services in different regions of States.</w:t>
      </w:r>
    </w:p>
    <w:p w:rsidR="005D7FF9" w:rsidRDefault="005D7FF9" w:rsidP="00AF5F21">
      <w:pPr>
        <w:pStyle w:val="FootnoteText"/>
        <w:keepNext/>
        <w:keepLines/>
      </w:pPr>
      <w:r>
        <w:t>(</w:t>
      </w:r>
      <w:r w:rsidR="007610F7">
        <w:t>e</w:t>
      </w:r>
      <w:r>
        <w:t xml:space="preserve">) </w:t>
      </w:r>
      <w:r>
        <w:tab/>
      </w:r>
      <w:r w:rsidR="005063F9">
        <w:t xml:space="preserve">Private sector activity, measured by </w:t>
      </w:r>
      <w:r w:rsidR="005063F9" w:rsidRPr="00C57F50">
        <w:t>sector size, number of establishments and private sector investment.</w:t>
      </w:r>
    </w:p>
    <w:p w:rsidR="007610F7" w:rsidRDefault="005D7FF9" w:rsidP="007610F7">
      <w:pPr>
        <w:pStyle w:val="FootnoteText"/>
        <w:keepNext/>
        <w:keepLines/>
      </w:pPr>
      <w:r>
        <w:t>(</w:t>
      </w:r>
      <w:r w:rsidR="007610F7">
        <w:t>f</w:t>
      </w:r>
      <w:r>
        <w:t>)</w:t>
      </w:r>
      <w:r>
        <w:tab/>
      </w:r>
      <w:r w:rsidR="005063F9">
        <w:t>Road length and use.</w:t>
      </w:r>
      <w:r w:rsidR="007610F7" w:rsidRPr="007610F7">
        <w:t xml:space="preserve"> </w:t>
      </w:r>
    </w:p>
    <w:p w:rsidR="005D7FF9" w:rsidRPr="00A66AD0" w:rsidRDefault="007610F7" w:rsidP="00AF5F21">
      <w:pPr>
        <w:pStyle w:val="FootnoteText"/>
        <w:keepNext/>
        <w:keepLines/>
      </w:pPr>
      <w:r w:rsidRPr="00A66AD0">
        <w:t>(</w:t>
      </w:r>
      <w:r>
        <w:t>g</w:t>
      </w:r>
      <w:r w:rsidRPr="00A66AD0">
        <w:t>)</w:t>
      </w:r>
      <w:r w:rsidRPr="00A66AD0">
        <w:tab/>
        <w:t>The population living in cities of different sizes is an influence recognised in this category.</w:t>
      </w:r>
    </w:p>
    <w:p w:rsidR="0066787E" w:rsidRDefault="0066787E" w:rsidP="0066787E">
      <w:pPr>
        <w:pStyle w:val="NoSpacing"/>
      </w:pPr>
      <w:bookmarkStart w:id="16" w:name="_Toc511913523"/>
    </w:p>
    <w:p w:rsidR="00AF5F21" w:rsidRDefault="00AF5F21" w:rsidP="0066787E">
      <w:pPr>
        <w:pStyle w:val="Heading4"/>
        <w:keepLines/>
      </w:pPr>
      <w:r>
        <w:lastRenderedPageBreak/>
        <w:t>Seeking State views</w:t>
      </w:r>
      <w:bookmarkEnd w:id="16"/>
    </w:p>
    <w:p w:rsidR="001339B0" w:rsidRDefault="00AF5F21" w:rsidP="0066787E">
      <w:pPr>
        <w:pStyle w:val="CGCNumberedPara"/>
        <w:keepNext/>
        <w:keepLines/>
      </w:pPr>
      <w:r>
        <w:t>States are invited to submit comments on:</w:t>
      </w:r>
      <w:r w:rsidR="001339B0" w:rsidRPr="001339B0">
        <w:t xml:space="preserve"> </w:t>
      </w:r>
    </w:p>
    <w:p w:rsidR="00AF5F21" w:rsidRDefault="00AF5F21" w:rsidP="0066787E">
      <w:pPr>
        <w:pStyle w:val="CGCBulletlist"/>
        <w:keepNext/>
        <w:keepLines/>
        <w:numPr>
          <w:ilvl w:val="0"/>
          <w:numId w:val="1"/>
        </w:numPr>
        <w:tabs>
          <w:tab w:val="clear" w:pos="927"/>
        </w:tabs>
        <w:ind w:left="1134" w:hanging="567"/>
      </w:pPr>
      <w:r>
        <w:t>specific issues raised in the paper</w:t>
      </w:r>
      <w:r w:rsidR="005063F9">
        <w:t>s</w:t>
      </w:r>
    </w:p>
    <w:p w:rsidR="009C0D30" w:rsidRDefault="00C57F50" w:rsidP="0066787E">
      <w:pPr>
        <w:pStyle w:val="CGCBulletlist"/>
        <w:keepNext/>
        <w:keepLines/>
        <w:numPr>
          <w:ilvl w:val="0"/>
          <w:numId w:val="1"/>
        </w:numPr>
        <w:tabs>
          <w:tab w:val="clear" w:pos="927"/>
        </w:tabs>
        <w:ind w:left="1134" w:hanging="567"/>
      </w:pPr>
      <w:r>
        <w:t>the</w:t>
      </w:r>
      <w:r w:rsidR="00AF5F21">
        <w:t xml:space="preserve"> analysis and approach being proposed</w:t>
      </w:r>
    </w:p>
    <w:p w:rsidR="00AF5F21" w:rsidRDefault="009C0D30" w:rsidP="0066787E">
      <w:pPr>
        <w:pStyle w:val="CGCBulletlist"/>
        <w:keepNext/>
        <w:keepLines/>
      </w:pPr>
      <w:proofErr w:type="gramStart"/>
      <w:r>
        <w:t>other</w:t>
      </w:r>
      <w:proofErr w:type="gramEnd"/>
      <w:r>
        <w:t xml:space="preserve"> issues for consideration by the Commission</w:t>
      </w:r>
      <w:r w:rsidR="00C57F50">
        <w:t>, in particular any views o</w:t>
      </w:r>
      <w:r w:rsidR="0066787E">
        <w:t>n the Commission Position P</w:t>
      </w:r>
      <w:r w:rsidR="00C57F50">
        <w:t xml:space="preserve">aper </w:t>
      </w:r>
      <w:r w:rsidR="00C57F50" w:rsidRPr="0066787E">
        <w:rPr>
          <w:i/>
        </w:rPr>
        <w:t>CGC 2017-21</w:t>
      </w:r>
      <w:r w:rsidR="0066787E">
        <w:rPr>
          <w:i/>
        </w:rPr>
        <w:t>,</w:t>
      </w:r>
      <w:r w:rsidR="00C57F50" w:rsidRPr="00C57F50">
        <w:t xml:space="preserve"> </w:t>
      </w:r>
      <w:r w:rsidR="00C57F50" w:rsidRPr="00C57F50">
        <w:rPr>
          <w:i/>
        </w:rPr>
        <w:t xml:space="preserve">The principle of HFE and its </w:t>
      </w:r>
      <w:r w:rsidR="00C57F50" w:rsidRPr="0066787E">
        <w:rPr>
          <w:i/>
        </w:rPr>
        <w:t>implementation</w:t>
      </w:r>
      <w:r w:rsidR="00AF5F21">
        <w:t>.</w:t>
      </w:r>
    </w:p>
    <w:p w:rsidR="00D42D3C" w:rsidRDefault="00AF5F21" w:rsidP="00D42D3C">
      <w:pPr>
        <w:pStyle w:val="CGCNumberedPara"/>
        <w:numPr>
          <w:ilvl w:val="1"/>
          <w:numId w:val="3"/>
        </w:numPr>
      </w:pPr>
      <w:r>
        <w:t xml:space="preserve">Under the 2020 Review work plan, State submissions are sought by the end of August 2018. </w:t>
      </w:r>
      <w:r w:rsidR="00083CF6">
        <w:t>T</w:t>
      </w:r>
      <w:r>
        <w:t xml:space="preserve">he </w:t>
      </w:r>
      <w:r w:rsidR="00B438A0">
        <w:t xml:space="preserve">Commission </w:t>
      </w:r>
      <w:r>
        <w:t>will release a draft report outlining its position on each assessment</w:t>
      </w:r>
      <w:r w:rsidR="00083CF6">
        <w:t>, including its consideration of State views,</w:t>
      </w:r>
      <w:r>
        <w:t xml:space="preserve"> in May 2019.</w:t>
      </w:r>
      <w:r w:rsidR="00D42D3C" w:rsidRPr="00D42D3C">
        <w:t xml:space="preserve"> </w:t>
      </w:r>
    </w:p>
    <w:p w:rsidR="008E355F" w:rsidRDefault="00D42D3C" w:rsidP="009C0D30">
      <w:pPr>
        <w:pStyle w:val="CGCNumberedPara"/>
        <w:numPr>
          <w:ilvl w:val="1"/>
          <w:numId w:val="3"/>
        </w:numPr>
      </w:pPr>
      <w:r>
        <w:t>If States suggest assessment changes, the changes will need to be consistent with the Commission’s assessment guidelines. In particular, States will need to include a detailed discussion of the reliability and robustness of any new data they propose to use to measure disabilities. Where possible, proposed changes should be presented to the Commission, including supporting data, during State visits.</w:t>
      </w:r>
      <w:r w:rsidR="009C0D30" w:rsidRPr="00E674AF">
        <w:t xml:space="preserve"> </w:t>
      </w:r>
      <w:r w:rsidR="007177F2">
        <w:t>Short supplementary submissions on particular topics may be made</w:t>
      </w:r>
      <w:r w:rsidR="004A541C">
        <w:t>, if States wish</w:t>
      </w:r>
      <w:r w:rsidR="007177F2">
        <w:t xml:space="preserve">. </w:t>
      </w:r>
    </w:p>
    <w:p w:rsidR="00532D10" w:rsidRDefault="006F7975" w:rsidP="009C0D30">
      <w:pPr>
        <w:pStyle w:val="CGCNumberedPara"/>
        <w:numPr>
          <w:ilvl w:val="1"/>
          <w:numId w:val="3"/>
        </w:numPr>
      </w:pPr>
      <w:r>
        <w:t xml:space="preserve">As staff progress the work discussed in the draft assessment papers, we may </w:t>
      </w:r>
      <w:r w:rsidR="00C30429">
        <w:t>have additional round</w:t>
      </w:r>
      <w:r w:rsidR="004D3FC9">
        <w:t>s</w:t>
      </w:r>
      <w:r w:rsidR="00C30429">
        <w:t xml:space="preserve"> of consultation prior to the draft report. Staff may </w:t>
      </w:r>
      <w:r>
        <w:t xml:space="preserve">hold discussions with States </w:t>
      </w:r>
      <w:r w:rsidR="006B37CD">
        <w:t xml:space="preserve">through the Officer Working Party </w:t>
      </w:r>
      <w:r>
        <w:t>and/or provide additional assessment papers for State comments. Topics for additional discussion may include land tax, gambling, education, health, roads and transport.</w:t>
      </w:r>
      <w:r w:rsidR="007177F2">
        <w:t xml:space="preserve"> </w:t>
      </w:r>
    </w:p>
    <w:p w:rsidR="00083CF6" w:rsidRPr="00E674AF" w:rsidRDefault="00083CF6" w:rsidP="009C0D30">
      <w:pPr>
        <w:pStyle w:val="CGCNumberedPara"/>
        <w:numPr>
          <w:ilvl w:val="1"/>
          <w:numId w:val="3"/>
        </w:numPr>
      </w:pPr>
      <w:r>
        <w:t>The Assessment Framework used by the Commission is described in more detail at Attachment A.</w:t>
      </w:r>
    </w:p>
    <w:bookmarkEnd w:id="1"/>
    <w:bookmarkEnd w:id="2"/>
    <w:bookmarkEnd w:id="3"/>
    <w:bookmarkEnd w:id="4"/>
    <w:bookmarkEnd w:id="5"/>
    <w:bookmarkEnd w:id="6"/>
    <w:bookmarkEnd w:id="7"/>
    <w:bookmarkEnd w:id="8"/>
    <w:p w:rsidR="00532D10" w:rsidRPr="00E674AF" w:rsidRDefault="00532D10" w:rsidP="00532D10">
      <w:pPr>
        <w:tabs>
          <w:tab w:val="clear" w:pos="567"/>
        </w:tabs>
        <w:sectPr w:rsidR="00532D10" w:rsidRPr="00E674AF" w:rsidSect="00BD0F62">
          <w:footerReference w:type="first" r:id="rId17"/>
          <w:pgSz w:w="11899" w:h="16838" w:code="9"/>
          <w:pgMar w:top="1701" w:right="1474" w:bottom="1701" w:left="1474" w:header="709" w:footer="709" w:gutter="0"/>
          <w:pgNumType w:start="1"/>
          <w:cols w:space="708"/>
          <w:titlePg/>
          <w:docGrid w:linePitch="299"/>
        </w:sectPr>
      </w:pPr>
    </w:p>
    <w:p w:rsidR="00532D10" w:rsidRPr="00E674AF" w:rsidRDefault="00532D10" w:rsidP="00532D10">
      <w:pPr>
        <w:pStyle w:val="Heading2"/>
      </w:pPr>
      <w:bookmarkStart w:id="17" w:name="_Toc106707732"/>
      <w:bookmarkStart w:id="18" w:name="_Toc155675943"/>
      <w:bookmarkStart w:id="19" w:name="_Toc174415778"/>
      <w:bookmarkStart w:id="20" w:name="_Toc174415943"/>
      <w:bookmarkStart w:id="21" w:name="_Toc174416628"/>
      <w:bookmarkStart w:id="22" w:name="_Toc174416670"/>
      <w:bookmarkStart w:id="23" w:name="_Toc511913524"/>
      <w:r w:rsidRPr="00E674AF">
        <w:lastRenderedPageBreak/>
        <w:t>A</w:t>
      </w:r>
      <w:bookmarkEnd w:id="17"/>
      <w:bookmarkEnd w:id="18"/>
      <w:bookmarkEnd w:id="19"/>
      <w:bookmarkEnd w:id="20"/>
      <w:bookmarkEnd w:id="21"/>
      <w:bookmarkEnd w:id="22"/>
      <w:r w:rsidR="00612904">
        <w:t>ttachment</w:t>
      </w:r>
      <w:r>
        <w:t xml:space="preserve"> A </w:t>
      </w:r>
      <w:r w:rsidR="00EE2ECD">
        <w:t>– Assessment framework</w:t>
      </w:r>
      <w:bookmarkEnd w:id="23"/>
    </w:p>
    <w:p w:rsidR="00EE2ECD" w:rsidRDefault="00EE2ECD" w:rsidP="00660B6A">
      <w:pPr>
        <w:pStyle w:val="CGCNumberedPara"/>
        <w:numPr>
          <w:ilvl w:val="1"/>
          <w:numId w:val="42"/>
        </w:numPr>
      </w:pPr>
      <w:bookmarkStart w:id="24" w:name="_Toc174415779"/>
      <w:bookmarkStart w:id="25" w:name="_Toc174415852"/>
      <w:bookmarkStart w:id="26" w:name="_Toc174415944"/>
      <w:bookmarkStart w:id="27" w:name="_Toc174416629"/>
      <w:bookmarkStart w:id="28" w:name="_Toc174416671"/>
      <w:bookmarkStart w:id="29" w:name="_Toc174416683"/>
      <w:r>
        <w:t xml:space="preserve">We have used the 2020 Review assessment guidelines, as set out in </w:t>
      </w:r>
      <w:r w:rsidR="0066787E">
        <w:t xml:space="preserve">Commission Position Paper </w:t>
      </w:r>
      <w:r w:rsidR="0066787E" w:rsidRPr="0066787E">
        <w:rPr>
          <w:i/>
        </w:rPr>
        <w:t>CGC 2017-21</w:t>
      </w:r>
      <w:r w:rsidR="0066787E">
        <w:rPr>
          <w:i/>
        </w:rPr>
        <w:t>,</w:t>
      </w:r>
      <w:r w:rsidR="0066787E" w:rsidRPr="00C57F50">
        <w:t xml:space="preserve"> </w:t>
      </w:r>
      <w:proofErr w:type="gramStart"/>
      <w:r w:rsidR="0066787E" w:rsidRPr="00C57F50">
        <w:rPr>
          <w:i/>
        </w:rPr>
        <w:t>The</w:t>
      </w:r>
      <w:proofErr w:type="gramEnd"/>
      <w:r w:rsidR="0066787E" w:rsidRPr="00C57F50">
        <w:rPr>
          <w:i/>
        </w:rPr>
        <w:t xml:space="preserve"> principle of </w:t>
      </w:r>
      <w:proofErr w:type="spellStart"/>
      <w:r w:rsidR="0066787E" w:rsidRPr="00C57F50">
        <w:rPr>
          <w:i/>
        </w:rPr>
        <w:t>HFE</w:t>
      </w:r>
      <w:proofErr w:type="spellEnd"/>
      <w:r w:rsidR="0066787E" w:rsidRPr="00C57F50">
        <w:rPr>
          <w:i/>
        </w:rPr>
        <w:t xml:space="preserve"> and its </w:t>
      </w:r>
      <w:r w:rsidR="0066787E" w:rsidRPr="0066787E">
        <w:rPr>
          <w:i/>
        </w:rPr>
        <w:t>implementation</w:t>
      </w:r>
      <w:r>
        <w:t>, to assist in the review of the assessments. The guidelines say that t</w:t>
      </w:r>
      <w:r w:rsidRPr="006979C4">
        <w:t>he Commission will include a disability in a category when</w:t>
      </w:r>
      <w:r>
        <w:t>:</w:t>
      </w:r>
    </w:p>
    <w:p w:rsidR="00EE2ECD" w:rsidRDefault="00EE2ECD" w:rsidP="00EE2ECD">
      <w:pPr>
        <w:pStyle w:val="CGCBulletlist"/>
        <w:numPr>
          <w:ilvl w:val="0"/>
          <w:numId w:val="1"/>
        </w:numPr>
        <w:tabs>
          <w:tab w:val="clear" w:pos="927"/>
        </w:tabs>
        <w:ind w:left="1134" w:hanging="567"/>
      </w:pPr>
      <w:r w:rsidRPr="009D28C9">
        <w:t>a case for the disability is established, namely</w:t>
      </w:r>
      <w:r>
        <w:t>:</w:t>
      </w:r>
    </w:p>
    <w:p w:rsidR="00EE2ECD" w:rsidRDefault="00EE2ECD" w:rsidP="00EE2ECD">
      <w:pPr>
        <w:pStyle w:val="CGCSubbulletlist"/>
        <w:numPr>
          <w:ilvl w:val="0"/>
          <w:numId w:val="4"/>
        </w:numPr>
        <w:tabs>
          <w:tab w:val="clear" w:pos="927"/>
        </w:tabs>
        <w:ind w:left="1701" w:hanging="567"/>
      </w:pPr>
      <w:r w:rsidRPr="009D28C9">
        <w:t xml:space="preserve">a sound </w:t>
      </w:r>
      <w:r w:rsidRPr="00B620F3">
        <w:t>conceptual</w:t>
      </w:r>
      <w:r w:rsidRPr="009D28C9">
        <w:t xml:space="preserve"> basis for these differences exists</w:t>
      </w:r>
    </w:p>
    <w:p w:rsidR="00EE2ECD" w:rsidRDefault="00EE2ECD" w:rsidP="00EE2ECD">
      <w:pPr>
        <w:pStyle w:val="CGCSubbulletlist"/>
        <w:numPr>
          <w:ilvl w:val="0"/>
          <w:numId w:val="4"/>
        </w:numPr>
        <w:tabs>
          <w:tab w:val="clear" w:pos="927"/>
        </w:tabs>
        <w:ind w:left="1701" w:hanging="567"/>
      </w:pPr>
      <w:r w:rsidRPr="009D28C9">
        <w:t xml:space="preserve">there is </w:t>
      </w:r>
      <w:r w:rsidRPr="00B620F3">
        <w:t>sufficient</w:t>
      </w:r>
      <w:r w:rsidRPr="009D28C9">
        <w:t xml:space="preserve"> empirical evidence that </w:t>
      </w:r>
      <w:r>
        <w:t xml:space="preserve">material </w:t>
      </w:r>
      <w:r w:rsidRPr="009D28C9">
        <w:t>differences exist between States in the levels of use and/or unit costs in providing services or in their capacities to raise revenues</w:t>
      </w:r>
    </w:p>
    <w:p w:rsidR="00EE2ECD" w:rsidRDefault="00EE2ECD" w:rsidP="00EE2ECD">
      <w:pPr>
        <w:pStyle w:val="CGCBulletlist"/>
        <w:numPr>
          <w:ilvl w:val="0"/>
          <w:numId w:val="1"/>
        </w:numPr>
        <w:tabs>
          <w:tab w:val="clear" w:pos="927"/>
        </w:tabs>
        <w:ind w:left="1134" w:hanging="567"/>
      </w:pPr>
      <w:r w:rsidRPr="009D28C9">
        <w:t xml:space="preserve">a reliable </w:t>
      </w:r>
      <w:r w:rsidRPr="00B620F3">
        <w:t>method</w:t>
      </w:r>
      <w:r w:rsidRPr="009D28C9">
        <w:t xml:space="preserve"> has been devised that is:</w:t>
      </w:r>
    </w:p>
    <w:p w:rsidR="00EE2ECD" w:rsidRDefault="00EE2ECD" w:rsidP="00EE2ECD">
      <w:pPr>
        <w:pStyle w:val="CGCSubbulletlist"/>
        <w:numPr>
          <w:ilvl w:val="0"/>
          <w:numId w:val="4"/>
        </w:numPr>
        <w:tabs>
          <w:tab w:val="clear" w:pos="927"/>
        </w:tabs>
        <w:ind w:left="1701" w:hanging="567"/>
      </w:pPr>
      <w:r w:rsidRPr="009D28C9">
        <w:t xml:space="preserve">conceptually rigorous (for example, it measures what is intended to be measured, is </w:t>
      </w:r>
      <w:r w:rsidRPr="00B620F3">
        <w:t>based</w:t>
      </w:r>
      <w:r w:rsidRPr="009D28C9">
        <w:t xml:space="preserve"> on internal standards and is policy neutral</w:t>
      </w:r>
      <w:r>
        <w:t>)</w:t>
      </w:r>
    </w:p>
    <w:p w:rsidR="00EE2ECD" w:rsidRDefault="00EE2ECD" w:rsidP="00EE2ECD">
      <w:pPr>
        <w:pStyle w:val="CGCSubbulletlist"/>
        <w:numPr>
          <w:ilvl w:val="0"/>
          <w:numId w:val="4"/>
        </w:numPr>
        <w:tabs>
          <w:tab w:val="clear" w:pos="927"/>
        </w:tabs>
        <w:ind w:left="1701" w:hanging="567"/>
      </w:pPr>
      <w:r w:rsidRPr="009D28C9">
        <w:t xml:space="preserve">implementable (the </w:t>
      </w:r>
      <w:r w:rsidRPr="00B620F3">
        <w:t>disability</w:t>
      </w:r>
      <w:r w:rsidRPr="009D28C9">
        <w:t xml:space="preserve"> can be measured satisfactorily</w:t>
      </w:r>
      <w:r>
        <w:t>)</w:t>
      </w:r>
    </w:p>
    <w:p w:rsidR="00EE2ECD" w:rsidRDefault="00EE2ECD" w:rsidP="00EE2ECD">
      <w:pPr>
        <w:pStyle w:val="CGCSubbulletlist"/>
        <w:numPr>
          <w:ilvl w:val="0"/>
          <w:numId w:val="4"/>
        </w:numPr>
        <w:tabs>
          <w:tab w:val="clear" w:pos="927"/>
        </w:tabs>
        <w:ind w:left="1701" w:hanging="567"/>
      </w:pPr>
      <w:r w:rsidRPr="009D28C9">
        <w:t xml:space="preserve">where used, </w:t>
      </w:r>
      <w:r w:rsidRPr="00B620F3">
        <w:t>consistent</w:t>
      </w:r>
      <w:r w:rsidRPr="009D28C9">
        <w:t xml:space="preserve"> with external review outcomes</w:t>
      </w:r>
    </w:p>
    <w:p w:rsidR="00EE2ECD" w:rsidRDefault="00EE2ECD" w:rsidP="00EE2ECD">
      <w:pPr>
        <w:pStyle w:val="CGCBulletlist"/>
        <w:numPr>
          <w:ilvl w:val="0"/>
          <w:numId w:val="1"/>
        </w:numPr>
        <w:tabs>
          <w:tab w:val="clear" w:pos="927"/>
        </w:tabs>
        <w:ind w:left="1134" w:hanging="567"/>
      </w:pPr>
      <w:r w:rsidRPr="009D28C9">
        <w:t>data are available that are</w:t>
      </w:r>
      <w:r>
        <w:t>:</w:t>
      </w:r>
    </w:p>
    <w:p w:rsidR="00EE2ECD" w:rsidRDefault="00EE2ECD" w:rsidP="00EE2ECD">
      <w:pPr>
        <w:pStyle w:val="CGCSubbulletlist"/>
        <w:numPr>
          <w:ilvl w:val="0"/>
          <w:numId w:val="4"/>
        </w:numPr>
        <w:tabs>
          <w:tab w:val="clear" w:pos="927"/>
        </w:tabs>
        <w:ind w:left="1701" w:hanging="567"/>
      </w:pPr>
      <w:r w:rsidRPr="009D28C9">
        <w:t xml:space="preserve">fit for purpose — </w:t>
      </w:r>
      <w:r w:rsidRPr="00B620F3">
        <w:t>they</w:t>
      </w:r>
      <w:r w:rsidRPr="009D28C9">
        <w:t xml:space="preserve"> capture the influence the Commission is trying to measure and provide a valid measure of States’ circumstances</w:t>
      </w:r>
    </w:p>
    <w:p w:rsidR="00EE2ECD" w:rsidRDefault="00EE2ECD" w:rsidP="00EE2ECD">
      <w:pPr>
        <w:pStyle w:val="CGCSubbulletlist"/>
        <w:numPr>
          <w:ilvl w:val="0"/>
          <w:numId w:val="4"/>
        </w:numPr>
        <w:tabs>
          <w:tab w:val="clear" w:pos="927"/>
        </w:tabs>
        <w:ind w:left="1701" w:hanging="567"/>
      </w:pPr>
      <w:r w:rsidRPr="009D28C9">
        <w:t xml:space="preserve">of suitable quality — the collection process and sampling techniques are appropriate, the </w:t>
      </w:r>
      <w:r w:rsidRPr="00B620F3">
        <w:t>data</w:t>
      </w:r>
      <w:r w:rsidRPr="009D28C9">
        <w:t xml:space="preserve"> are consistent across the States and over time and are not subject to large revisions</w:t>
      </w:r>
    </w:p>
    <w:p w:rsidR="00EE2ECD" w:rsidRDefault="00EE2ECD" w:rsidP="00EE2ECD">
      <w:pPr>
        <w:pStyle w:val="CGCBulletlist"/>
        <w:numPr>
          <w:ilvl w:val="0"/>
          <w:numId w:val="1"/>
        </w:numPr>
        <w:tabs>
          <w:tab w:val="clear" w:pos="927"/>
        </w:tabs>
        <w:ind w:left="1134" w:hanging="567"/>
      </w:pPr>
      <w:proofErr w:type="gramStart"/>
      <w:r>
        <w:t>the</w:t>
      </w:r>
      <w:proofErr w:type="gramEnd"/>
      <w:r>
        <w:t xml:space="preserve"> assessment is material.</w:t>
      </w:r>
    </w:p>
    <w:p w:rsidR="00EE2ECD" w:rsidRDefault="00EE2ECD" w:rsidP="00EE2ECD">
      <w:pPr>
        <w:pStyle w:val="CGCNumberedPara"/>
        <w:numPr>
          <w:ilvl w:val="1"/>
          <w:numId w:val="3"/>
        </w:numPr>
        <w:tabs>
          <w:tab w:val="clear" w:pos="567"/>
        </w:tabs>
      </w:pPr>
      <w:r>
        <w:t xml:space="preserve">While the guidelines apply equally to revenue and expenditure assessments, the approach to developing assessment methods differ. </w:t>
      </w:r>
    </w:p>
    <w:p w:rsidR="0063459B" w:rsidRDefault="0063459B" w:rsidP="0063459B">
      <w:pPr>
        <w:pStyle w:val="Heading5"/>
      </w:pPr>
      <w:r>
        <w:t>Calculating assessed revenue</w:t>
      </w:r>
    </w:p>
    <w:p w:rsidR="0063459B" w:rsidRDefault="0063459B" w:rsidP="0063459B">
      <w:pPr>
        <w:pStyle w:val="CGCNumberedPara"/>
        <w:numPr>
          <w:ilvl w:val="1"/>
          <w:numId w:val="3"/>
        </w:numPr>
        <w:tabs>
          <w:tab w:val="clear" w:pos="567"/>
        </w:tabs>
      </w:pPr>
      <w:r>
        <w:t>Assessed revenues are derived by multiplying a revenue base by the average tax rate. This is equivalent to apportioning total revenue by each State’s share of the revenue base.</w:t>
      </w:r>
      <w:r w:rsidRPr="00653272">
        <w:t xml:space="preserve"> </w:t>
      </w:r>
    </w:p>
    <w:p w:rsidR="0063459B" w:rsidRDefault="0063459B" w:rsidP="0063459B">
      <w:pPr>
        <w:pStyle w:val="CGCNumberedPara"/>
        <w:numPr>
          <w:ilvl w:val="1"/>
          <w:numId w:val="3"/>
        </w:numPr>
        <w:tabs>
          <w:tab w:val="clear" w:pos="567"/>
        </w:tabs>
      </w:pPr>
      <w:r w:rsidRPr="00310C5F">
        <w:rPr>
          <w:rStyle w:val="Heading6Char"/>
        </w:rPr>
        <w:t>Revenue base.</w:t>
      </w:r>
      <w:r>
        <w:t xml:space="preserve"> To establish the revenue base, the Commission examines States’ tax legislation to identify the transactions being taxed, the concessions or exemptions being offered and how tax liability is assessed. </w:t>
      </w:r>
    </w:p>
    <w:p w:rsidR="0063459B" w:rsidRDefault="0063459B" w:rsidP="0063459B">
      <w:pPr>
        <w:pStyle w:val="CGCNumberedPara"/>
        <w:numPr>
          <w:ilvl w:val="1"/>
          <w:numId w:val="3"/>
        </w:numPr>
        <w:tabs>
          <w:tab w:val="clear" w:pos="567"/>
        </w:tabs>
      </w:pPr>
      <w:r>
        <w:t>Revenue bases are generally constructed using data on the number or value of taxable transactions. The extent to which data on the number or value of taxable transactions might be policy influenced is also considered.</w:t>
      </w:r>
    </w:p>
    <w:p w:rsidR="0063459B" w:rsidRDefault="0063459B" w:rsidP="0063459B">
      <w:pPr>
        <w:pStyle w:val="CGCNumberedPara"/>
        <w:numPr>
          <w:ilvl w:val="1"/>
          <w:numId w:val="3"/>
        </w:numPr>
        <w:tabs>
          <w:tab w:val="clear" w:pos="567"/>
        </w:tabs>
      </w:pPr>
      <w:r>
        <w:lastRenderedPageBreak/>
        <w:t xml:space="preserve">Data can be obtained from two sources. </w:t>
      </w:r>
    </w:p>
    <w:p w:rsidR="0063459B" w:rsidRDefault="0063459B" w:rsidP="0063459B">
      <w:pPr>
        <w:pStyle w:val="CGCBulletlist"/>
        <w:numPr>
          <w:ilvl w:val="0"/>
          <w:numId w:val="1"/>
        </w:numPr>
        <w:tabs>
          <w:tab w:val="clear" w:pos="927"/>
        </w:tabs>
        <w:ind w:left="1134" w:hanging="567"/>
      </w:pPr>
      <w:r>
        <w:t>State tax collection agencies. If revenue bases are measured from data supplied by States, the data can be affected by differences in State tax policies. Where required, the Commission makes adjustments to remove the effects of any policy differences. Stamp duty on conveyances is an example of a revenue base measured using State provided data.</w:t>
      </w:r>
    </w:p>
    <w:p w:rsidR="0063459B" w:rsidRDefault="0063459B" w:rsidP="0063459B">
      <w:pPr>
        <w:pStyle w:val="CGCBulletlist"/>
        <w:numPr>
          <w:ilvl w:val="0"/>
          <w:numId w:val="1"/>
        </w:numPr>
        <w:tabs>
          <w:tab w:val="clear" w:pos="927"/>
        </w:tabs>
        <w:ind w:left="1134" w:hanging="567"/>
      </w:pPr>
      <w:r>
        <w:t>Independent sources. Revenue bases can be measured using data from independent sources (such as the Australian Bureau of Statistics). If the data are a reliable measure of each State’s revenue capacity, the Commission’s preference is to measure revenue bases using third party data, because third party data tend to be less affected by State policy differences. Where required, the Commission adjusts the revenue base to remove the effects of any policy differences. Payroll tax is an example of a revenue base measured using third party data.</w:t>
      </w:r>
    </w:p>
    <w:p w:rsidR="0063459B" w:rsidRDefault="0063459B" w:rsidP="0063459B">
      <w:pPr>
        <w:pStyle w:val="CGCNumberedPara"/>
        <w:numPr>
          <w:ilvl w:val="1"/>
          <w:numId w:val="3"/>
        </w:numPr>
      </w:pPr>
      <w:r w:rsidRPr="00EB1BEB">
        <w:rPr>
          <w:b/>
        </w:rPr>
        <w:t>Adjustments for differences from the average policy</w:t>
      </w:r>
      <w:r w:rsidRPr="005F38D9">
        <w:rPr>
          <w:b/>
        </w:rPr>
        <w:t>.</w:t>
      </w:r>
      <w:r w:rsidRPr="00EB1BEB">
        <w:t xml:space="preserve"> </w:t>
      </w:r>
      <w:r>
        <w:t>Revenue bases are measured with reference to what States, on average, tax. What is taxed in one State might not be taxed in another. Thus, adjustments may be required to remove or add parts of the base where a State’s policy differs from the average. For example, in the Stamp duty on conveyances category, an adjustment is made to remove transactions that are caught by the wider unit trust provisions in three States.</w:t>
      </w:r>
    </w:p>
    <w:p w:rsidR="0063459B" w:rsidRDefault="0063459B" w:rsidP="0063459B">
      <w:pPr>
        <w:pStyle w:val="CGCNumberedPara"/>
        <w:numPr>
          <w:ilvl w:val="1"/>
          <w:numId w:val="3"/>
        </w:numPr>
        <w:tabs>
          <w:tab w:val="clear" w:pos="567"/>
        </w:tabs>
      </w:pPr>
      <w:r w:rsidRPr="00EB1BEB">
        <w:rPr>
          <w:b/>
        </w:rPr>
        <w:t>Adjustments for differences in disability influences.</w:t>
      </w:r>
      <w:r>
        <w:t xml:space="preserve"> A revenue base should capture differences in capacity arising from factors outside the control of a States. An adjustment may be required to remove or add a factor. For example, if States impose different rates of tax on different parts of the tax base, assessing revenue capacity using the total value of transactions will not capture all revenue disabilities. An adjustment may be required to reflect how differences in the distribution of taxable transactions across value ranges can affect the revenue States raise. Such progressivity adjustments are assessed in the Land revenue</w:t>
      </w:r>
      <w:r w:rsidR="001339B0">
        <w:t xml:space="preserve"> and </w:t>
      </w:r>
      <w:r>
        <w:t>Stamp duty on conveyances</w:t>
      </w:r>
      <w:r w:rsidR="0066787E">
        <w:t xml:space="preserve"> papers</w:t>
      </w:r>
      <w:r>
        <w:t>.</w:t>
      </w:r>
    </w:p>
    <w:p w:rsidR="0063459B" w:rsidRDefault="0063459B" w:rsidP="0063459B">
      <w:pPr>
        <w:pStyle w:val="CGCNumberedPara"/>
        <w:numPr>
          <w:ilvl w:val="1"/>
          <w:numId w:val="3"/>
        </w:numPr>
        <w:tabs>
          <w:tab w:val="clear" w:pos="567"/>
        </w:tabs>
      </w:pPr>
      <w:r>
        <w:t>If reliable data are available</w:t>
      </w:r>
      <w:r w:rsidRPr="003F7AA7">
        <w:t xml:space="preserve"> </w:t>
      </w:r>
      <w:r>
        <w:t>to adjust a revenue base, the Commission uses the data to estimate the size and direction of the adjustment for each State. An adjustment is only included if it is material. If reliable data are not available, but the Commission is confident about the direction and relative size of the adjustment, it may assess an adjustment by judgment.</w:t>
      </w:r>
    </w:p>
    <w:p w:rsidR="0063459B" w:rsidRDefault="0063459B" w:rsidP="0063459B">
      <w:pPr>
        <w:pStyle w:val="CGCNumberedPara"/>
        <w:numPr>
          <w:ilvl w:val="1"/>
          <w:numId w:val="3"/>
        </w:numPr>
      </w:pPr>
      <w:r w:rsidRPr="00EB1BEB">
        <w:rPr>
          <w:rStyle w:val="Heading6Char"/>
        </w:rPr>
        <w:t>Average tax rate.</w:t>
      </w:r>
      <w:r>
        <w:t xml:space="preserve"> The average tax rate is calculated by dividing total revenue by the total revenue base. This calculation means it reflects any concessions or rebates provided by States.</w:t>
      </w:r>
    </w:p>
    <w:p w:rsidR="0063459B" w:rsidRPr="00F6124B" w:rsidRDefault="0063459B" w:rsidP="0063459B">
      <w:pPr>
        <w:pStyle w:val="CGCNumberedPara"/>
        <w:numPr>
          <w:ilvl w:val="1"/>
          <w:numId w:val="3"/>
        </w:numPr>
        <w:tabs>
          <w:tab w:val="clear" w:pos="567"/>
        </w:tabs>
        <w:spacing w:after="200" w:line="276" w:lineRule="auto"/>
      </w:pPr>
      <w:r w:rsidRPr="00F348EE">
        <w:t xml:space="preserve">Box </w:t>
      </w:r>
      <w:r w:rsidR="0066787E">
        <w:t>A-</w:t>
      </w:r>
      <w:r w:rsidRPr="00F348EE">
        <w:t xml:space="preserve">1 describes </w:t>
      </w:r>
      <w:r>
        <w:t xml:space="preserve">the calculation of per capita assessed revenue using the average </w:t>
      </w:r>
      <w:r w:rsidR="005063F9">
        <w:t>tax rate</w:t>
      </w:r>
      <w:r>
        <w:t xml:space="preserve"> and each State’s per capita revenue base.</w:t>
      </w:r>
      <w:r>
        <w:br w:type="page"/>
      </w:r>
    </w:p>
    <w:p w:rsidR="0063459B" w:rsidRPr="00172658" w:rsidRDefault="0063459B" w:rsidP="0008172A">
      <w:pPr>
        <w:pStyle w:val="CGCTableHeading"/>
      </w:pPr>
      <w:r w:rsidRPr="00172658">
        <w:lastRenderedPageBreak/>
        <w:t xml:space="preserve">Box </w:t>
      </w:r>
      <w:r w:rsidR="0066787E">
        <w:t>A-</w:t>
      </w:r>
      <w:r>
        <w:t>1</w:t>
      </w:r>
      <w:r w:rsidRPr="00172658">
        <w:tab/>
      </w:r>
      <w:r>
        <w:t>Derivation of assessed revenue</w:t>
      </w:r>
    </w:p>
    <w:tbl>
      <w:tblPr>
        <w:tblW w:w="0" w:type="auto"/>
        <w:tblInd w:w="108" w:type="dxa"/>
        <w:tblLook w:val="04A0" w:firstRow="1" w:lastRow="0" w:firstColumn="1" w:lastColumn="0" w:noHBand="0" w:noVBand="1"/>
      </w:tblPr>
      <w:tblGrid>
        <w:gridCol w:w="9059"/>
      </w:tblGrid>
      <w:tr w:rsidR="0063459B" w:rsidRPr="00ED0A5D" w:rsidTr="0008172A">
        <w:tc>
          <w:tcPr>
            <w:tcW w:w="9059" w:type="dxa"/>
            <w:tcBorders>
              <w:top w:val="nil"/>
              <w:left w:val="nil"/>
              <w:bottom w:val="nil"/>
              <w:right w:val="nil"/>
            </w:tcBorders>
            <w:shd w:val="clear" w:color="auto" w:fill="C1FFE0"/>
          </w:tcPr>
          <w:p w:rsidR="0063459B" w:rsidRPr="009A62B7" w:rsidRDefault="0063459B" w:rsidP="00BD0F62">
            <w:pPr>
              <w:pStyle w:val="CGCNumberedPara"/>
              <w:numPr>
                <w:ilvl w:val="0"/>
                <w:numId w:val="0"/>
              </w:numPr>
              <w:spacing w:line="240" w:lineRule="auto"/>
              <w:rPr>
                <w:sz w:val="20"/>
                <w:szCs w:val="20"/>
              </w:rPr>
            </w:pPr>
            <w:r w:rsidRPr="009A62B7">
              <w:rPr>
                <w:sz w:val="20"/>
                <w:szCs w:val="20"/>
              </w:rPr>
              <w:t>Algebraically, the calculation of per capita assessed revenue can be represented using the average revenue raising effort</w:t>
            </w:r>
            <w:r w:rsidR="00083CF6">
              <w:rPr>
                <w:sz w:val="20"/>
                <w:szCs w:val="20"/>
              </w:rPr>
              <w:t>, defined as the average tax rate</w:t>
            </w:r>
            <w:r w:rsidRPr="009A62B7">
              <w:rPr>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s</m:t>
                  </m:r>
                </m:sub>
              </m:sSub>
            </m:oMath>
            <w:r w:rsidRPr="009A62B7">
              <w:rPr>
                <w:sz w:val="20"/>
                <w:szCs w:val="20"/>
              </w:rPr>
              <w:t xml:space="preserve">) and each </w:t>
            </w:r>
            <w:bookmarkStart w:id="30" w:name="_GoBack"/>
            <w:bookmarkEnd w:id="30"/>
            <w:r w:rsidRPr="009A62B7">
              <w:rPr>
                <w:sz w:val="20"/>
                <w:szCs w:val="20"/>
              </w:rPr>
              <w:t>State’s per capita revenue base.</w:t>
            </w:r>
            <w:r w:rsidR="00CB40A9">
              <w:rPr>
                <w:sz w:val="20"/>
                <w:szCs w:val="20"/>
              </w:rPr>
              <w:t xml:space="preserve"> </w:t>
            </w:r>
            <w:r w:rsidRPr="009A62B7">
              <w:rPr>
                <w:sz w:val="20"/>
                <w:szCs w:val="20"/>
              </w:rPr>
              <w:t>For each category:</w:t>
            </w:r>
          </w:p>
          <w:p w:rsidR="0063459B" w:rsidRPr="009A62B7" w:rsidRDefault="004A541C" w:rsidP="00BD0F62">
            <w:pPr>
              <w:pStyle w:val="CGCNumberedPara"/>
              <w:numPr>
                <w:ilvl w:val="0"/>
                <w:numId w:val="0"/>
              </w:numPr>
              <w:ind w:left="567" w:hanging="567"/>
              <w:rPr>
                <w:sz w:val="20"/>
                <w:szCs w:val="20"/>
              </w:rPr>
            </w:pPr>
            <m:oMathPara>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AR</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s</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den>
                </m:f>
                <m:r>
                  <w:rPr>
                    <w:rFonts w:ascii="Cambria Math" w:hAnsi="Cambria Math"/>
                    <w:sz w:val="20"/>
                    <w:szCs w:val="20"/>
                  </w:rPr>
                  <m:t xml:space="preserve">     </m:t>
                </m:r>
                <m:r>
                  <m:rPr>
                    <m:sty m:val="p"/>
                  </m:rPr>
                  <w:rPr>
                    <w:rFonts w:ascii="Cambria Math" w:hAnsi="Cambria Math"/>
                    <w:sz w:val="20"/>
                    <w:szCs w:val="20"/>
                  </w:rPr>
                  <m:t>(A)</m:t>
                </m:r>
              </m:oMath>
            </m:oMathPara>
          </w:p>
          <w:p w:rsidR="0063459B" w:rsidRDefault="0063459B" w:rsidP="00BD0F62">
            <w:pPr>
              <w:pStyle w:val="CGCNumberedPara"/>
              <w:numPr>
                <w:ilvl w:val="0"/>
                <w:numId w:val="0"/>
              </w:numPr>
              <w:ind w:left="567" w:hanging="567"/>
              <w:rPr>
                <w:sz w:val="20"/>
                <w:szCs w:val="20"/>
              </w:rPr>
            </w:pPr>
            <w:r w:rsidRPr="009A62B7">
              <w:rPr>
                <w:sz w:val="20"/>
                <w:szCs w:val="20"/>
              </w:rPr>
              <w:t>Where:</w:t>
            </w:r>
            <w:r w:rsidRPr="009A62B7">
              <w:rPr>
                <w:sz w:val="20"/>
                <w:szCs w:val="20"/>
              </w:rPr>
              <w:tab/>
            </w:r>
            <w:r w:rsidR="007E0AC4">
              <w:rPr>
                <w:sz w:val="20"/>
                <w:szCs w:val="20"/>
              </w:rPr>
              <w:t xml:space="preserve">i and </w:t>
            </w:r>
            <w:r w:rsidRPr="009A62B7">
              <w:rPr>
                <w:sz w:val="20"/>
                <w:szCs w:val="20"/>
              </w:rPr>
              <w:t>s represent an individual State and the States as a whole</w:t>
            </w:r>
            <w:r w:rsidR="007E0AC4">
              <w:rPr>
                <w:sz w:val="20"/>
                <w:szCs w:val="20"/>
              </w:rPr>
              <w:t>, respectively</w:t>
            </w:r>
            <w:r w:rsidRPr="009A62B7">
              <w:rPr>
                <w:sz w:val="20"/>
                <w:szCs w:val="20"/>
              </w:rPr>
              <w:br/>
            </w:r>
            <w:r w:rsidRPr="009A62B7">
              <w:rPr>
                <w:sz w:val="20"/>
                <w:szCs w:val="20"/>
              </w:rPr>
              <w:tab/>
            </w:r>
            <w:r w:rsidRPr="009A62B7">
              <w:rPr>
                <w:sz w:val="20"/>
                <w:szCs w:val="20"/>
              </w:rPr>
              <w:tab/>
              <w:t>AR represents assessed revenue</w:t>
            </w:r>
            <w:r w:rsidRPr="009A62B7">
              <w:rPr>
                <w:sz w:val="20"/>
                <w:szCs w:val="20"/>
              </w:rPr>
              <w:br/>
            </w:r>
            <w:r w:rsidRPr="009A62B7">
              <w:rPr>
                <w:sz w:val="20"/>
                <w:szCs w:val="20"/>
              </w:rPr>
              <w:tab/>
            </w:r>
            <w:r w:rsidRPr="009A62B7">
              <w:rPr>
                <w:sz w:val="20"/>
                <w:szCs w:val="20"/>
              </w:rPr>
              <w:tab/>
              <w:t>P represents population</w:t>
            </w:r>
            <w:r w:rsidRPr="009A62B7">
              <w:rPr>
                <w:sz w:val="20"/>
                <w:szCs w:val="20"/>
              </w:rPr>
              <w:br/>
            </w:r>
            <w:r w:rsidRPr="009A62B7">
              <w:rPr>
                <w:sz w:val="20"/>
                <w:szCs w:val="20"/>
              </w:rPr>
              <w:tab/>
            </w:r>
            <w:r w:rsidRPr="009A62B7">
              <w:rPr>
                <w:sz w:val="20"/>
                <w:szCs w:val="20"/>
              </w:rP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oMath>
            <w:r w:rsidR="00EE02A6" w:rsidRPr="009A62B7">
              <w:t xml:space="preserve"> </w:t>
            </w:r>
            <w:r w:rsidRPr="009A62B7">
              <w:rPr>
                <w:sz w:val="20"/>
                <w:szCs w:val="20"/>
              </w:rPr>
              <w:t xml:space="preserve">represents an average tax rate </w:t>
            </w:r>
            <w:r w:rsidRPr="009A62B7">
              <w:rPr>
                <w:sz w:val="20"/>
                <w:szCs w:val="20"/>
              </w:rPr>
              <w:br/>
            </w:r>
            <w:r w:rsidRPr="009A62B7">
              <w:rPr>
                <w:sz w:val="20"/>
                <w:szCs w:val="20"/>
              </w:rPr>
              <w:tab/>
            </w:r>
            <w:r w:rsidRPr="009A62B7">
              <w:rPr>
                <w:sz w:val="20"/>
                <w:szCs w:val="20"/>
              </w:rPr>
              <w:tab/>
              <w:t>Y represents a revenue base.</w:t>
            </w:r>
          </w:p>
          <w:p w:rsidR="0063459B" w:rsidRPr="009A62B7" w:rsidRDefault="004A541C" w:rsidP="00BD0F62">
            <w:pPr>
              <w:pStyle w:val="FootnoteText"/>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oMath>
            <w:r w:rsidR="0063459B" w:rsidRPr="00CB40A9">
              <w:t xml:space="preserve"> </w:t>
            </w:r>
            <w:r w:rsidR="0063459B" w:rsidRPr="009A62B7">
              <w:t>can be expressed as:</w:t>
            </w:r>
          </w:p>
          <w:p w:rsidR="0063459B" w:rsidRPr="009A62B7" w:rsidRDefault="004A541C" w:rsidP="00BD0F62">
            <w:pPr>
              <w:pStyle w:val="CGCNumberedPara"/>
              <w:numPr>
                <w:ilvl w:val="0"/>
                <w:numId w:val="0"/>
              </w:numPr>
              <w:ind w:left="567" w:hanging="567"/>
              <w:rPr>
                <w:sz w:val="20"/>
                <w:szCs w:val="20"/>
              </w:rPr>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s</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s</m:t>
                        </m:r>
                      </m:sub>
                    </m:sSub>
                  </m:num>
                  <m:den>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s</m:t>
                        </m:r>
                      </m:sub>
                    </m:sSub>
                  </m:den>
                </m:f>
                <m:r>
                  <w:rPr>
                    <w:rFonts w:ascii="Cambria Math" w:eastAsiaTheme="minorEastAsia" w:hAnsi="Cambria Math"/>
                    <w:sz w:val="20"/>
                    <w:szCs w:val="20"/>
                  </w:rPr>
                  <m:t>=</m:t>
                </m:r>
                <m:f>
                  <m:fPr>
                    <m:ctrlPr>
                      <w:rPr>
                        <w:rFonts w:ascii="Cambria Math" w:eastAsiaTheme="minorEastAsia" w:hAnsi="Cambria Math"/>
                        <w:i/>
                        <w:sz w:val="20"/>
                        <w:szCs w:val="20"/>
                      </w:rPr>
                    </m:ctrlPr>
                  </m:fPr>
                  <m:num>
                    <m:nary>
                      <m:naryPr>
                        <m:chr m:val="∑"/>
                        <m:limLoc m:val="undOvr"/>
                        <m:subHide m:val="1"/>
                        <m:supHide m:val="1"/>
                        <m:ctrlPr>
                          <w:rPr>
                            <w:rFonts w:ascii="Cambria Math" w:eastAsiaTheme="minorEastAsia"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i</m:t>
                            </m:r>
                          </m:sub>
                        </m:sSub>
                      </m:e>
                    </m:nary>
                  </m:num>
                  <m:den>
                    <m:nary>
                      <m:naryPr>
                        <m:chr m:val="∑"/>
                        <m:limLoc m:val="undOvr"/>
                        <m:subHide m:val="1"/>
                        <m:supHide m:val="1"/>
                        <m:ctrlPr>
                          <w:rPr>
                            <w:rFonts w:ascii="Cambria Math" w:eastAsiaTheme="minorEastAsia"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sub>
                        </m:sSub>
                      </m:e>
                    </m:nary>
                  </m:den>
                </m:f>
              </m:oMath>
            </m:oMathPara>
          </w:p>
          <w:p w:rsidR="00CB40A9" w:rsidRDefault="00CB40A9" w:rsidP="00BD0F62">
            <w:pPr>
              <w:pStyle w:val="CGCNumberedPara"/>
              <w:numPr>
                <w:ilvl w:val="0"/>
                <w:numId w:val="0"/>
              </w:numPr>
              <w:ind w:left="567" w:hanging="567"/>
              <w:rPr>
                <w:sz w:val="20"/>
                <w:szCs w:val="20"/>
              </w:rPr>
            </w:pPr>
            <w:r w:rsidRPr="009A62B7">
              <w:rPr>
                <w:sz w:val="20"/>
                <w:szCs w:val="20"/>
              </w:rPr>
              <w:t>Where</w:t>
            </w:r>
            <w:r>
              <w:rPr>
                <w:sz w:val="20"/>
                <w:szCs w:val="20"/>
              </w:rPr>
              <w:t xml:space="preserve"> </w:t>
            </w:r>
            <w:r w:rsidRPr="009A62B7">
              <w:rPr>
                <w:sz w:val="20"/>
                <w:szCs w:val="20"/>
              </w:rPr>
              <w:t xml:space="preserve">R represents </w:t>
            </w:r>
            <w:r>
              <w:rPr>
                <w:sz w:val="20"/>
                <w:szCs w:val="20"/>
              </w:rPr>
              <w:t>actual</w:t>
            </w:r>
            <w:r w:rsidRPr="009A62B7">
              <w:rPr>
                <w:sz w:val="20"/>
                <w:szCs w:val="20"/>
              </w:rPr>
              <w:t xml:space="preserve"> revenue</w:t>
            </w:r>
            <w:r>
              <w:rPr>
                <w:sz w:val="20"/>
                <w:szCs w:val="20"/>
              </w:rPr>
              <w:t>.</w:t>
            </w:r>
          </w:p>
          <w:p w:rsidR="0063459B" w:rsidRPr="009A62B7" w:rsidRDefault="0063459B" w:rsidP="00BD0F62">
            <w:pPr>
              <w:pStyle w:val="CGCNumberedPara"/>
              <w:numPr>
                <w:ilvl w:val="0"/>
                <w:numId w:val="0"/>
              </w:numPr>
              <w:ind w:left="567" w:hanging="567"/>
              <w:rPr>
                <w:sz w:val="20"/>
                <w:szCs w:val="20"/>
              </w:rPr>
            </w:pPr>
            <w:r w:rsidRPr="009A62B7">
              <w:rPr>
                <w:sz w:val="20"/>
                <w:szCs w:val="20"/>
              </w:rPr>
              <w:t xml:space="preserve">Substituting </w:t>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s</m:t>
                  </m:r>
                </m:sub>
              </m:sSub>
            </m:oMath>
            <w:r w:rsidRPr="009A62B7">
              <w:rPr>
                <w:sz w:val="20"/>
                <w:szCs w:val="20"/>
              </w:rPr>
              <w:t xml:space="preserve"> into Equation A we obtain:</w:t>
            </w:r>
          </w:p>
          <w:p w:rsidR="0063459B" w:rsidRPr="009A62B7" w:rsidRDefault="004A541C" w:rsidP="00BD0F62">
            <w:pPr>
              <w:pStyle w:val="CGCNumberedPara"/>
              <w:numPr>
                <w:ilvl w:val="0"/>
                <w:numId w:val="0"/>
              </w:numPr>
              <w:ind w:left="567" w:hanging="567"/>
              <w:rPr>
                <w:sz w:val="20"/>
                <w:szCs w:val="20"/>
              </w:rPr>
            </w:pPr>
            <m:oMathPara>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AR</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den>
                </m:f>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s</m:t>
                        </m:r>
                      </m:sub>
                    </m:sSub>
                  </m:num>
                  <m:den>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s</m:t>
                        </m:r>
                      </m:sub>
                    </m:sSub>
                  </m:den>
                </m:f>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den>
                </m:f>
                <m:r>
                  <w:rPr>
                    <w:rFonts w:ascii="Cambria Math" w:hAnsi="Cambria Math"/>
                    <w:sz w:val="20"/>
                    <w:szCs w:val="20"/>
                  </w:rPr>
                  <m:t xml:space="preserve">     </m:t>
                </m:r>
                <m:r>
                  <m:rPr>
                    <m:sty m:val="p"/>
                  </m:rPr>
                  <w:rPr>
                    <w:rFonts w:ascii="Cambria Math" w:hAnsi="Cambria Math"/>
                    <w:sz w:val="20"/>
                    <w:szCs w:val="20"/>
                  </w:rPr>
                  <m:t>(B)</m:t>
                </m:r>
              </m:oMath>
            </m:oMathPara>
          </w:p>
          <w:p w:rsidR="0063459B" w:rsidRPr="009A62B7" w:rsidRDefault="0063459B" w:rsidP="00BD0F62">
            <w:pPr>
              <w:pStyle w:val="CGCNumberedPara"/>
              <w:numPr>
                <w:ilvl w:val="0"/>
                <w:numId w:val="0"/>
              </w:numPr>
              <w:spacing w:line="240" w:lineRule="auto"/>
              <w:rPr>
                <w:sz w:val="20"/>
                <w:szCs w:val="20"/>
              </w:rPr>
            </w:pPr>
            <w:r w:rsidRPr="009A62B7">
              <w:rPr>
                <w:sz w:val="20"/>
                <w:szCs w:val="20"/>
              </w:rPr>
              <w:t>Equation B confirms assessed revenue can be derived by apportioning total revenue by each State’s share of the revenue base:</w:t>
            </w:r>
          </w:p>
          <w:p w:rsidR="0063459B" w:rsidRPr="009A62B7" w:rsidRDefault="004A541C" w:rsidP="00BD0F62">
            <w:pPr>
              <w:pStyle w:val="CGCNumberedPara"/>
              <w:numPr>
                <w:ilvl w:val="0"/>
                <w:numId w:val="0"/>
              </w:numPr>
              <w:ind w:left="567" w:hanging="567"/>
              <w:rPr>
                <w:sz w:val="20"/>
                <w:szCs w:val="20"/>
              </w:rPr>
            </w:pPr>
            <m:oMathPara>
              <m:oMath>
                <m:sSub>
                  <m:sSubPr>
                    <m:ctrlPr>
                      <w:rPr>
                        <w:rFonts w:ascii="Cambria Math" w:hAnsi="Cambria Math"/>
                        <w:i/>
                        <w:sz w:val="20"/>
                        <w:szCs w:val="20"/>
                      </w:rPr>
                    </m:ctrlPr>
                  </m:sSubPr>
                  <m:e>
                    <m:r>
                      <w:rPr>
                        <w:rFonts w:ascii="Cambria Math" w:hAnsi="Cambria Math"/>
                        <w:sz w:val="20"/>
                        <w:szCs w:val="20"/>
                      </w:rPr>
                      <m:t>AR</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s</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s</m:t>
                        </m:r>
                      </m:sub>
                    </m:sSub>
                  </m:den>
                </m:f>
              </m:oMath>
            </m:oMathPara>
          </w:p>
          <w:p w:rsidR="0063459B" w:rsidRPr="009A62B7" w:rsidRDefault="0063459B" w:rsidP="00BD0F62">
            <w:pPr>
              <w:pStyle w:val="CGCNumberedPara"/>
              <w:numPr>
                <w:ilvl w:val="0"/>
                <w:numId w:val="0"/>
              </w:numPr>
              <w:spacing w:line="240" w:lineRule="auto"/>
              <w:rPr>
                <w:sz w:val="20"/>
                <w:szCs w:val="20"/>
              </w:rPr>
            </w:pPr>
            <w:r w:rsidRPr="009A62B7">
              <w:rPr>
                <w:sz w:val="20"/>
                <w:szCs w:val="20"/>
              </w:rPr>
              <w:t>The calculation of assessed revenue can also be represented in terms of per capita revenue and each State’s revenue raising disability ratio (</w:t>
            </w:r>
            <m:oMath>
              <m:sSub>
                <m:sSubPr>
                  <m:ctrlPr>
                    <w:rPr>
                      <w:rFonts w:ascii="Cambria Math" w:hAnsi="Cambria Math"/>
                      <w:sz w:val="20"/>
                      <w:szCs w:val="20"/>
                    </w:rPr>
                  </m:ctrlPr>
                </m:sSubPr>
                <m:e>
                  <m:r>
                    <m:rPr>
                      <m:sty m:val="p"/>
                    </m:rPr>
                    <w:rPr>
                      <w:rFonts w:ascii="Cambria Math" w:hAnsi="Cambria Math"/>
                      <w:sz w:val="20"/>
                      <w:szCs w:val="20"/>
                    </w:rPr>
                    <m:t>ρ</m:t>
                  </m:r>
                </m:e>
                <m:sub>
                  <m:r>
                    <m:rPr>
                      <m:sty m:val="p"/>
                    </m:rPr>
                    <w:rPr>
                      <w:rFonts w:ascii="Cambria Math" w:hAnsi="Cambria Math"/>
                      <w:sz w:val="20"/>
                      <w:szCs w:val="20"/>
                    </w:rPr>
                    <m:t>i</m:t>
                  </m:r>
                </m:sub>
              </m:sSub>
            </m:oMath>
            <w:r w:rsidRPr="009A62B7">
              <w:rPr>
                <w:sz w:val="20"/>
                <w:szCs w:val="20"/>
              </w:rPr>
              <w:t>).</w:t>
            </w:r>
          </w:p>
          <w:p w:rsidR="0063459B" w:rsidRPr="009A62B7" w:rsidRDefault="004A541C" w:rsidP="00BD0F62">
            <w:pPr>
              <w:pStyle w:val="CGCNumberedPara"/>
              <w:numPr>
                <w:ilvl w:val="0"/>
                <w:numId w:val="0"/>
              </w:numPr>
              <w:ind w:left="567" w:hanging="567"/>
              <w:rPr>
                <w:sz w:val="20"/>
                <w:szCs w:val="20"/>
              </w:rPr>
            </w:pPr>
            <m:oMathPara>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AR</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den>
                </m:f>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s</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s</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i</m:t>
                    </m:r>
                  </m:sub>
                </m:sSub>
                <m:r>
                  <w:rPr>
                    <w:rFonts w:ascii="Cambria Math" w:hAnsi="Cambria Math"/>
                    <w:sz w:val="20"/>
                    <w:szCs w:val="20"/>
                  </w:rPr>
                  <m:t xml:space="preserve">     </m:t>
                </m:r>
                <m:r>
                  <m:rPr>
                    <m:sty m:val="p"/>
                  </m:rPr>
                  <w:rPr>
                    <w:rFonts w:ascii="Cambria Math" w:hAnsi="Cambria Math"/>
                    <w:sz w:val="20"/>
                    <w:szCs w:val="20"/>
                  </w:rPr>
                  <m:t>(C)</m:t>
                </m:r>
              </m:oMath>
            </m:oMathPara>
          </w:p>
          <w:p w:rsidR="0063459B" w:rsidRPr="009A62B7" w:rsidRDefault="0063459B" w:rsidP="00BD0F62">
            <w:pPr>
              <w:pStyle w:val="CGCNumberedPara"/>
              <w:numPr>
                <w:ilvl w:val="0"/>
                <w:numId w:val="0"/>
              </w:numPr>
              <w:ind w:left="567" w:hanging="567"/>
              <w:rPr>
                <w:sz w:val="20"/>
                <w:szCs w:val="20"/>
              </w:rPr>
            </w:pPr>
            <w:r w:rsidRPr="009A62B7">
              <w:rPr>
                <w:sz w:val="20"/>
                <w:szCs w:val="20"/>
              </w:rPr>
              <w:t>Where</w:t>
            </w:r>
            <w:r w:rsidR="00CB40A9">
              <w:rPr>
                <w:sz w:val="20"/>
                <w:szCs w:val="20"/>
              </w:rPr>
              <w:t xml:space="preserve"> </w:t>
            </w:r>
            <m:oMath>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i</m:t>
                  </m:r>
                </m:sub>
              </m:sSub>
            </m:oMath>
            <w:r w:rsidRPr="009A62B7">
              <w:rPr>
                <w:sz w:val="20"/>
                <w:szCs w:val="20"/>
              </w:rPr>
              <w:t xml:space="preserve"> represents a State’s revenue raising disability ratio, which is its revenue raising capacity relative to the Australian average.</w:t>
            </w:r>
          </w:p>
          <w:p w:rsidR="0063459B" w:rsidRPr="009A62B7" w:rsidRDefault="004A541C" w:rsidP="00BD0F62">
            <w:pPr>
              <w:pStyle w:val="CGCNumberedPara"/>
              <w:numPr>
                <w:ilvl w:val="0"/>
                <w:numId w:val="0"/>
              </w:numPr>
              <w:ind w:left="567" w:hanging="567"/>
              <w:rPr>
                <w:sz w:val="20"/>
                <w:szCs w:val="20"/>
              </w:rPr>
            </w:pPr>
            <m:oMathPara>
              <m:oMath>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i</m:t>
                    </m:r>
                  </m:sub>
                </m:sSub>
                <m:r>
                  <w:rPr>
                    <w:rFonts w:ascii="Cambria Math" w:hAnsi="Cambria Math"/>
                    <w:sz w:val="20"/>
                    <w:szCs w:val="20"/>
                  </w:rPr>
                  <m:t>=</m:t>
                </m:r>
                <m:f>
                  <m:fPr>
                    <m:type m:val="lin"/>
                    <m:ctrlPr>
                      <w:rPr>
                        <w:rFonts w:ascii="Cambria Math" w:hAnsi="Cambria Math"/>
                        <w:i/>
                        <w:sz w:val="20"/>
                        <w:szCs w:val="20"/>
                      </w:rPr>
                    </m:ctrlPr>
                  </m:fPr>
                  <m:num>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den>
                    </m:f>
                    <m:r>
                      <w:rPr>
                        <w:rFonts w:ascii="Cambria Math" w:hAnsi="Cambria Math"/>
                        <w:sz w:val="20"/>
                        <w:szCs w:val="20"/>
                      </w:rPr>
                      <m:t xml:space="preserve"> </m:t>
                    </m:r>
                  </m:num>
                  <m:den>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s</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s</m:t>
                            </m:r>
                          </m:sub>
                        </m:sSub>
                      </m:den>
                    </m:f>
                  </m:den>
                </m:f>
              </m:oMath>
            </m:oMathPara>
          </w:p>
          <w:p w:rsidR="0063459B" w:rsidRPr="009A62B7" w:rsidRDefault="0063459B" w:rsidP="00BD0F62">
            <w:pPr>
              <w:pStyle w:val="CGCNumberedPara"/>
              <w:numPr>
                <w:ilvl w:val="0"/>
                <w:numId w:val="0"/>
              </w:numPr>
              <w:spacing w:line="240" w:lineRule="auto"/>
              <w:rPr>
                <w:sz w:val="20"/>
                <w:szCs w:val="20"/>
              </w:rPr>
            </w:pPr>
            <w:r w:rsidRPr="009A62B7">
              <w:rPr>
                <w:sz w:val="20"/>
                <w:szCs w:val="20"/>
              </w:rPr>
              <w:t xml:space="preserve">Substituting </w:t>
            </w:r>
            <m:oMath>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i</m:t>
                  </m:r>
                </m:sub>
              </m:sSub>
            </m:oMath>
            <w:r w:rsidRPr="009A62B7">
              <w:rPr>
                <w:sz w:val="20"/>
                <w:szCs w:val="20"/>
              </w:rPr>
              <w:t xml:space="preserve"> into Equation C we obtain:</w:t>
            </w:r>
          </w:p>
          <w:p w:rsidR="0063459B" w:rsidRPr="009A62B7" w:rsidRDefault="004A541C" w:rsidP="00BD0F62">
            <w:pPr>
              <w:pStyle w:val="CGCNumberedPara"/>
              <w:numPr>
                <w:ilvl w:val="0"/>
                <w:numId w:val="0"/>
              </w:numPr>
              <w:ind w:left="567" w:hanging="567"/>
              <w:rPr>
                <w:sz w:val="20"/>
                <w:szCs w:val="20"/>
              </w:rPr>
            </w:pPr>
            <m:oMathPara>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AR</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den>
                </m:f>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s</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s</m:t>
                        </m:r>
                      </m:sub>
                    </m:sSub>
                  </m:den>
                </m:f>
                <m:r>
                  <w:rPr>
                    <w:rFonts w:ascii="Cambria Math" w:hAnsi="Cambria Math"/>
                    <w:sz w:val="20"/>
                    <w:szCs w:val="20"/>
                  </w:rPr>
                  <m:t>*</m:t>
                </m:r>
                <m:d>
                  <m:dPr>
                    <m:ctrlPr>
                      <w:rPr>
                        <w:rFonts w:ascii="Cambria Math" w:hAnsi="Cambria Math"/>
                        <w:i/>
                        <w:sz w:val="20"/>
                        <w:szCs w:val="20"/>
                      </w:rPr>
                    </m:ctrlPr>
                  </m:dPr>
                  <m:e>
                    <m:f>
                      <m:fPr>
                        <m:type m:val="lin"/>
                        <m:ctrlPr>
                          <w:rPr>
                            <w:rFonts w:ascii="Cambria Math" w:hAnsi="Cambria Math"/>
                            <w:i/>
                            <w:sz w:val="20"/>
                            <w:szCs w:val="20"/>
                          </w:rPr>
                        </m:ctrlPr>
                      </m:fPr>
                      <m:num>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den>
                        </m:f>
                        <m:r>
                          <w:rPr>
                            <w:rFonts w:ascii="Cambria Math" w:hAnsi="Cambria Math"/>
                            <w:sz w:val="20"/>
                            <w:szCs w:val="20"/>
                          </w:rPr>
                          <m:t xml:space="preserve"> </m:t>
                        </m:r>
                      </m:num>
                      <m:den>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s</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s</m:t>
                                </m:r>
                              </m:sub>
                            </m:sSub>
                          </m:den>
                        </m:f>
                      </m:den>
                    </m:f>
                  </m:e>
                </m:d>
              </m:oMath>
            </m:oMathPara>
          </w:p>
          <w:p w:rsidR="0063459B" w:rsidRPr="009A62B7" w:rsidRDefault="0063459B" w:rsidP="00BD0F62">
            <w:pPr>
              <w:pStyle w:val="CGCNumberedPara"/>
              <w:numPr>
                <w:ilvl w:val="0"/>
                <w:numId w:val="0"/>
              </w:numPr>
              <w:ind w:left="567" w:hanging="567"/>
              <w:rPr>
                <w:sz w:val="20"/>
                <w:szCs w:val="20"/>
              </w:rPr>
            </w:pPr>
            <m:oMathPara>
              <m:oMath>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s</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s</m:t>
                        </m:r>
                      </m:sub>
                    </m:sSub>
                  </m:den>
                </m:f>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den>
                </m:f>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s</m:t>
                        </m:r>
                      </m:sub>
                    </m:sSub>
                  </m:num>
                  <m:den>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s</m:t>
                        </m:r>
                      </m:sub>
                    </m:sSub>
                  </m:den>
                </m:f>
              </m:oMath>
            </m:oMathPara>
          </w:p>
          <w:p w:rsidR="0063459B" w:rsidRPr="009A62B7" w:rsidRDefault="004A541C" w:rsidP="00BD0F62">
            <w:pPr>
              <w:pStyle w:val="CGCNumberedPara"/>
              <w:numPr>
                <w:ilvl w:val="0"/>
                <w:numId w:val="0"/>
              </w:numPr>
              <w:ind w:left="567" w:hanging="567"/>
              <w:rPr>
                <w:sz w:val="20"/>
                <w:szCs w:val="20"/>
              </w:rPr>
            </w:pPr>
            <m:oMathPara>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AR</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den>
                </m:f>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s</m:t>
                        </m:r>
                      </m:sub>
                    </m:sSub>
                  </m:num>
                  <m:den>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s</m:t>
                        </m:r>
                      </m:sub>
                    </m:sSub>
                  </m:den>
                </m:f>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den>
                </m:f>
              </m:oMath>
            </m:oMathPara>
          </w:p>
          <w:p w:rsidR="0063459B" w:rsidRPr="009A62B7" w:rsidRDefault="0063459B" w:rsidP="00BD0F62">
            <w:pPr>
              <w:pStyle w:val="CGCNumberedPara"/>
              <w:numPr>
                <w:ilvl w:val="0"/>
                <w:numId w:val="0"/>
              </w:numPr>
              <w:spacing w:line="240" w:lineRule="auto"/>
              <w:rPr>
                <w:sz w:val="20"/>
                <w:szCs w:val="20"/>
              </w:rPr>
            </w:pPr>
            <w:r w:rsidRPr="009A62B7">
              <w:rPr>
                <w:sz w:val="20"/>
                <w:szCs w:val="20"/>
              </w:rPr>
              <w:t>This is the same as Equation B. As before, it confirms assessed revenue can be derived by apportioning total revenue by each State’s share of the revenue base:</w:t>
            </w:r>
          </w:p>
          <w:p w:rsidR="0063459B" w:rsidRPr="00172658" w:rsidRDefault="004A541C" w:rsidP="00BD0F62">
            <w:pPr>
              <w:pStyle w:val="CGCNumberedPara"/>
              <w:numPr>
                <w:ilvl w:val="0"/>
                <w:numId w:val="0"/>
              </w:numPr>
              <w:ind w:left="567" w:hanging="567"/>
              <w:rPr>
                <w:sz w:val="20"/>
                <w:szCs w:val="20"/>
              </w:rPr>
            </w:pPr>
            <m:oMathPara>
              <m:oMath>
                <m:sSub>
                  <m:sSubPr>
                    <m:ctrlPr>
                      <w:rPr>
                        <w:rFonts w:ascii="Cambria Math" w:hAnsi="Cambria Math"/>
                        <w:i/>
                        <w:sz w:val="20"/>
                        <w:szCs w:val="20"/>
                      </w:rPr>
                    </m:ctrlPr>
                  </m:sSubPr>
                  <m:e>
                    <m:r>
                      <w:rPr>
                        <w:rFonts w:ascii="Cambria Math" w:hAnsi="Cambria Math"/>
                        <w:sz w:val="20"/>
                        <w:szCs w:val="20"/>
                      </w:rPr>
                      <m:t>AR</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s</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s</m:t>
                        </m:r>
                      </m:sub>
                    </m:sSub>
                  </m:den>
                </m:f>
              </m:oMath>
            </m:oMathPara>
          </w:p>
        </w:tc>
      </w:tr>
    </w:tbl>
    <w:p w:rsidR="0063459B" w:rsidRDefault="0063459B" w:rsidP="0063459B">
      <w:pPr>
        <w:pStyle w:val="CGCNumberedPara"/>
        <w:numPr>
          <w:ilvl w:val="1"/>
          <w:numId w:val="3"/>
        </w:numPr>
      </w:pPr>
      <w:r>
        <w:lastRenderedPageBreak/>
        <w:fldChar w:fldCharType="begin"/>
      </w:r>
      <w:r>
        <w:instrText xml:space="preserve"> REF _Ref509926934 \h </w:instrText>
      </w:r>
      <w:r>
        <w:fldChar w:fldCharType="separate"/>
      </w:r>
      <w:r w:rsidR="0066787E">
        <w:t>Figure A-</w:t>
      </w:r>
      <w:r w:rsidR="0066787E">
        <w:rPr>
          <w:noProof/>
        </w:rPr>
        <w:t>1</w:t>
      </w:r>
      <w:r>
        <w:fldChar w:fldCharType="end"/>
      </w:r>
      <w:r>
        <w:t xml:space="preserve"> shows total actual revenue per capita and total assessed revenue per capita, average</w:t>
      </w:r>
      <w:r w:rsidR="005063F9">
        <w:t>d</w:t>
      </w:r>
      <w:r>
        <w:t xml:space="preserve"> over 2014-15 to 2016-17.</w:t>
      </w:r>
    </w:p>
    <w:p w:rsidR="0063459B" w:rsidRDefault="0063459B" w:rsidP="0063459B">
      <w:pPr>
        <w:pStyle w:val="Caption"/>
      </w:pPr>
      <w:bookmarkStart w:id="31" w:name="_Ref509926934"/>
      <w:r>
        <w:t xml:space="preserve">Figure </w:t>
      </w:r>
      <w:r w:rsidR="0066787E">
        <w:t>A-</w:t>
      </w:r>
      <w:r w:rsidR="004A541C">
        <w:fldChar w:fldCharType="begin"/>
      </w:r>
      <w:r w:rsidR="004A541C">
        <w:instrText xml:space="preserve"> SEQ Figure \* </w:instrText>
      </w:r>
      <w:r w:rsidR="004A541C">
        <w:instrText xml:space="preserve">ARABIC </w:instrText>
      </w:r>
      <w:r w:rsidR="004A541C">
        <w:fldChar w:fldCharType="separate"/>
      </w:r>
      <w:r w:rsidR="0066787E">
        <w:rPr>
          <w:noProof/>
        </w:rPr>
        <w:t>1</w:t>
      </w:r>
      <w:r w:rsidR="004A541C">
        <w:rPr>
          <w:noProof/>
        </w:rPr>
        <w:fldChar w:fldCharType="end"/>
      </w:r>
      <w:bookmarkEnd w:id="31"/>
      <w:r>
        <w:t xml:space="preserve"> </w:t>
      </w:r>
      <w:r>
        <w:tab/>
        <w:t>Total actual and assessed revenue per capita, average of 2014-15 to 2016</w:t>
      </w:r>
      <w:r>
        <w:noBreakHyphen/>
        <w:t>17</w:t>
      </w:r>
    </w:p>
    <w:p w:rsidR="0063459B" w:rsidRPr="00C05A50" w:rsidRDefault="00983ADF" w:rsidP="0063459B">
      <w:pPr>
        <w:pStyle w:val="CGCTableFootnote"/>
      </w:pPr>
      <w:r>
        <w:rPr>
          <w:noProof/>
          <w:lang w:eastAsia="en-AU"/>
        </w:rPr>
        <w:drawing>
          <wp:inline distT="0" distB="0" distL="0" distR="0" wp14:anchorId="6C63930C">
            <wp:extent cx="5657850" cy="3572510"/>
            <wp:effectExtent l="0" t="0" r="0" b="8890"/>
            <wp:docPr id="9" name="Picture 9" descr="Chart shows actual and assessed revenue in dollars per capita for each State" title="Total actual and assessed revenue per capita, average of 2014-15 to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57850" cy="3572510"/>
                    </a:xfrm>
                    <a:prstGeom prst="rect">
                      <a:avLst/>
                    </a:prstGeom>
                    <a:noFill/>
                  </pic:spPr>
                </pic:pic>
              </a:graphicData>
            </a:graphic>
          </wp:inline>
        </w:drawing>
      </w:r>
    </w:p>
    <w:p w:rsidR="0063459B" w:rsidRPr="00C05A50" w:rsidRDefault="0063459B" w:rsidP="0063459B">
      <w:pPr>
        <w:pStyle w:val="CGCTableFootnote"/>
      </w:pPr>
      <w:r>
        <w:t xml:space="preserve">(a) </w:t>
      </w:r>
      <w:r>
        <w:tab/>
        <w:t>The reason the ACT is different from other States is that the ACT does not have a separate local government sector. Its actual revenue includes $452 million ($1 112 per capita) in municipal rate revenue, revenue that is not included in other States’ actual revenues. The ACT’s municipal rate revenue is assessed EPC</w:t>
      </w:r>
      <w:r w:rsidR="001339B0">
        <w:t>, which means it does not affect its GST share</w:t>
      </w:r>
      <w:r>
        <w:t>.</w:t>
      </w:r>
    </w:p>
    <w:p w:rsidR="0063459B" w:rsidRDefault="0063459B" w:rsidP="0063459B">
      <w:pPr>
        <w:pStyle w:val="CGCTableFootnote"/>
      </w:pPr>
      <w:r>
        <w:t xml:space="preserve">Source: </w:t>
      </w:r>
      <w:r>
        <w:tab/>
        <w:t>Commission calculation.</w:t>
      </w:r>
    </w:p>
    <w:p w:rsidR="0063459B" w:rsidRPr="00C21EF9" w:rsidRDefault="0063459B" w:rsidP="0063459B">
      <w:pPr>
        <w:pStyle w:val="Heading5"/>
      </w:pPr>
      <w:r>
        <w:t xml:space="preserve">Calculating assessed </w:t>
      </w:r>
      <w:r w:rsidR="00EE02A6">
        <w:t>expenditure</w:t>
      </w:r>
    </w:p>
    <w:p w:rsidR="0063459B" w:rsidRDefault="0063459B" w:rsidP="0063459B">
      <w:pPr>
        <w:pStyle w:val="CGCNumberedPara"/>
        <w:numPr>
          <w:ilvl w:val="1"/>
          <w:numId w:val="3"/>
        </w:numPr>
      </w:pPr>
      <w:r>
        <w:t>The expenditure assessments start from a presumption that, if all things were equal, each State could provide the average level of service by spendin</w:t>
      </w:r>
      <w:r w:rsidR="005063F9">
        <w:t>g the average amount per capita</w:t>
      </w:r>
      <w:r>
        <w:t>. However, State circumstances differ and this leads to differences in:</w:t>
      </w:r>
    </w:p>
    <w:p w:rsidR="0063459B" w:rsidRDefault="0063459B" w:rsidP="0063459B">
      <w:pPr>
        <w:pStyle w:val="CGCBulletlist"/>
        <w:numPr>
          <w:ilvl w:val="0"/>
          <w:numId w:val="1"/>
        </w:numPr>
        <w:tabs>
          <w:tab w:val="clear" w:pos="927"/>
        </w:tabs>
        <w:ind w:left="1134" w:hanging="567"/>
      </w:pPr>
      <w:r>
        <w:t xml:space="preserve">the use of services, which can have an effect on the cost of providing services through: </w:t>
      </w:r>
    </w:p>
    <w:p w:rsidR="0063459B" w:rsidRDefault="0063459B" w:rsidP="0063459B">
      <w:pPr>
        <w:pStyle w:val="CGCSubbulletlist"/>
        <w:numPr>
          <w:ilvl w:val="0"/>
          <w:numId w:val="4"/>
        </w:numPr>
        <w:tabs>
          <w:tab w:val="clear" w:pos="927"/>
        </w:tabs>
        <w:ind w:left="1701" w:hanging="567"/>
      </w:pPr>
      <w:r>
        <w:t>greater demand for services (some population groups may use services more often than others)</w:t>
      </w:r>
    </w:p>
    <w:p w:rsidR="0063459B" w:rsidRDefault="0063459B" w:rsidP="0063459B">
      <w:pPr>
        <w:pStyle w:val="CGCSubbulletlist"/>
        <w:numPr>
          <w:ilvl w:val="0"/>
          <w:numId w:val="4"/>
        </w:numPr>
        <w:tabs>
          <w:tab w:val="clear" w:pos="927"/>
        </w:tabs>
        <w:ind w:left="1701" w:hanging="567"/>
      </w:pPr>
      <w:r>
        <w:t>greater cost per occasion of service (some population groups may cost more per occasion of service than others)</w:t>
      </w:r>
    </w:p>
    <w:p w:rsidR="0063459B" w:rsidRDefault="0063459B" w:rsidP="0063459B">
      <w:pPr>
        <w:pStyle w:val="CGCBulletlist"/>
        <w:numPr>
          <w:ilvl w:val="0"/>
          <w:numId w:val="1"/>
        </w:numPr>
        <w:tabs>
          <w:tab w:val="clear" w:pos="927"/>
          <w:tab w:val="num" w:pos="4188"/>
        </w:tabs>
        <w:ind w:left="1134" w:hanging="567"/>
      </w:pPr>
      <w:proofErr w:type="gramStart"/>
      <w:r>
        <w:t>the</w:t>
      </w:r>
      <w:proofErr w:type="gramEnd"/>
      <w:r>
        <w:t xml:space="preserve"> cost of inputs used in the provision of services, such as wages.</w:t>
      </w:r>
    </w:p>
    <w:p w:rsidR="0063459B" w:rsidRPr="00A66AD0" w:rsidRDefault="0063459B" w:rsidP="0066787E">
      <w:pPr>
        <w:pStyle w:val="CGCNumberedPara"/>
        <w:keepNext/>
        <w:keepLines/>
        <w:numPr>
          <w:ilvl w:val="1"/>
          <w:numId w:val="3"/>
        </w:numPr>
      </w:pPr>
      <w:r w:rsidRPr="00A66AD0">
        <w:lastRenderedPageBreak/>
        <w:t>For example:</w:t>
      </w:r>
    </w:p>
    <w:p w:rsidR="0063459B" w:rsidRPr="00A66AD0" w:rsidRDefault="0063459B" w:rsidP="0066787E">
      <w:pPr>
        <w:pStyle w:val="CGCBulletlist"/>
        <w:keepNext/>
        <w:keepLines/>
        <w:numPr>
          <w:ilvl w:val="0"/>
          <w:numId w:val="1"/>
        </w:numPr>
        <w:tabs>
          <w:tab w:val="clear" w:pos="927"/>
        </w:tabs>
        <w:ind w:left="1134" w:hanging="567"/>
      </w:pPr>
      <w:r w:rsidRPr="00A66AD0">
        <w:t xml:space="preserve">Hospital services are used more intensively </w:t>
      </w:r>
      <w:r w:rsidR="00DC2F8C">
        <w:t xml:space="preserve">(either through greater demand or greater cost per occasion of service) </w:t>
      </w:r>
      <w:r w:rsidRPr="00A66AD0">
        <w:t>by some age groups and by Indigenous people. States are assessed to have a disability if the groups that make</w:t>
      </w:r>
      <w:r w:rsidR="0066787E">
        <w:t xml:space="preserve"> the</w:t>
      </w:r>
      <w:r w:rsidRPr="00A66AD0">
        <w:t xml:space="preserve"> most use of a service are a larger proportion of their population than they are of the national population. Conversely, they have an advantage (negative disability) if the size of the group is smaller than the national average. </w:t>
      </w:r>
    </w:p>
    <w:p w:rsidR="0063459B" w:rsidRDefault="0063459B" w:rsidP="0066787E">
      <w:pPr>
        <w:pStyle w:val="CGCBulletlist"/>
        <w:keepNext/>
        <w:keepLines/>
        <w:numPr>
          <w:ilvl w:val="0"/>
          <w:numId w:val="1"/>
        </w:numPr>
        <w:tabs>
          <w:tab w:val="clear" w:pos="927"/>
        </w:tabs>
        <w:ind w:left="1134" w:hanging="567"/>
      </w:pPr>
      <w:r>
        <w:t>Cost of inputs covers interstate differences in wage related costs and inter</w:t>
      </w:r>
      <w:r>
        <w:noBreakHyphen/>
        <w:t>regional differences in wage and non-wage related costs.</w:t>
      </w:r>
      <w:r w:rsidR="00DC2F8C" w:rsidRPr="00DC2F8C">
        <w:t xml:space="preserve"> </w:t>
      </w:r>
      <w:r w:rsidR="005063F9">
        <w:t>In addition, s</w:t>
      </w:r>
      <w:r w:rsidR="00DC2F8C" w:rsidRPr="00A66AD0">
        <w:t>ome States face diseconomies of small scale</w:t>
      </w:r>
      <w:r w:rsidR="005063F9">
        <w:t>, which result in higher per capita costs.</w:t>
      </w:r>
    </w:p>
    <w:p w:rsidR="0063459B" w:rsidRDefault="0063459B" w:rsidP="0063459B">
      <w:pPr>
        <w:pStyle w:val="CGCNumberedPara"/>
        <w:numPr>
          <w:ilvl w:val="1"/>
          <w:numId w:val="3"/>
        </w:numPr>
      </w:pPr>
      <w:r w:rsidRPr="00A66AD0">
        <w:t>However, higher costs arising from a State’s decision to provide a higher level of service</w:t>
      </w:r>
      <w:r w:rsidR="005063F9">
        <w:t>,</w:t>
      </w:r>
      <w:r w:rsidRPr="00A66AD0">
        <w:t xml:space="preserve"> </w:t>
      </w:r>
      <w:r>
        <w:t xml:space="preserve">or lower efficiency level </w:t>
      </w:r>
      <w:r w:rsidRPr="00A66AD0">
        <w:t>do not constitute a disability.</w:t>
      </w:r>
    </w:p>
    <w:p w:rsidR="0063459B" w:rsidRDefault="0063459B" w:rsidP="0063459B">
      <w:pPr>
        <w:pStyle w:val="CGCNumberedPara"/>
        <w:numPr>
          <w:ilvl w:val="1"/>
          <w:numId w:val="3"/>
        </w:numPr>
      </w:pPr>
      <w:r>
        <w:t xml:space="preserve">Box </w:t>
      </w:r>
      <w:r w:rsidR="0066787E">
        <w:t>A-</w:t>
      </w:r>
      <w:r>
        <w:t xml:space="preserve">2 describes </w:t>
      </w:r>
      <w:r w:rsidR="005063F9">
        <w:t xml:space="preserve">how </w:t>
      </w:r>
      <w:r>
        <w:t xml:space="preserve">the Commission has presented </w:t>
      </w:r>
      <w:r w:rsidRPr="00406ADE">
        <w:t>disability assessments</w:t>
      </w:r>
      <w:r>
        <w:t xml:space="preserve"> and assessed expenditure in the 2015 Review.</w:t>
      </w:r>
    </w:p>
    <w:p w:rsidR="0063459B" w:rsidRDefault="0063459B" w:rsidP="0063459B">
      <w:pPr>
        <w:tabs>
          <w:tab w:val="clear" w:pos="567"/>
        </w:tabs>
        <w:spacing w:after="200" w:line="276" w:lineRule="auto"/>
        <w:rPr>
          <w:b/>
          <w:bCs/>
          <w:szCs w:val="20"/>
        </w:rPr>
      </w:pPr>
      <w:r>
        <w:br w:type="page"/>
      </w:r>
    </w:p>
    <w:p w:rsidR="0063459B" w:rsidRPr="00172658" w:rsidRDefault="0063459B" w:rsidP="0063459B">
      <w:pPr>
        <w:pStyle w:val="Caption"/>
      </w:pPr>
      <w:r w:rsidRPr="00172658">
        <w:lastRenderedPageBreak/>
        <w:t xml:space="preserve">Box </w:t>
      </w:r>
      <w:r w:rsidR="0066787E">
        <w:t>A-</w:t>
      </w:r>
      <w:r>
        <w:t>2</w:t>
      </w:r>
      <w:r w:rsidRPr="00172658">
        <w:tab/>
      </w:r>
      <w:r>
        <w:t xml:space="preserve">Presenting </w:t>
      </w:r>
      <w:r w:rsidRPr="00406ADE">
        <w:t>disability assessments</w:t>
      </w:r>
      <w:r>
        <w:t xml:space="preserve"> and assessed expenditure</w:t>
      </w:r>
    </w:p>
    <w:tbl>
      <w:tblPr>
        <w:tblW w:w="0" w:type="auto"/>
        <w:tblInd w:w="108" w:type="dxa"/>
        <w:tblLook w:val="04A0" w:firstRow="1" w:lastRow="0" w:firstColumn="1" w:lastColumn="0" w:noHBand="0" w:noVBand="1"/>
      </w:tblPr>
      <w:tblGrid>
        <w:gridCol w:w="9059"/>
      </w:tblGrid>
      <w:tr w:rsidR="0063459B" w:rsidRPr="00ED0A5D" w:rsidTr="0008172A">
        <w:tc>
          <w:tcPr>
            <w:tcW w:w="9059" w:type="dxa"/>
            <w:tcBorders>
              <w:top w:val="nil"/>
              <w:left w:val="nil"/>
              <w:bottom w:val="nil"/>
              <w:right w:val="nil"/>
            </w:tcBorders>
            <w:shd w:val="clear" w:color="auto" w:fill="C1FFE0"/>
          </w:tcPr>
          <w:p w:rsidR="0063459B" w:rsidRDefault="0063459B" w:rsidP="00BD0F62">
            <w:pPr>
              <w:pStyle w:val="CGCNumberedPara"/>
              <w:numPr>
                <w:ilvl w:val="0"/>
                <w:numId w:val="0"/>
              </w:numPr>
              <w:spacing w:line="240" w:lineRule="auto"/>
              <w:rPr>
                <w:sz w:val="20"/>
                <w:szCs w:val="20"/>
              </w:rPr>
            </w:pPr>
            <w:r>
              <w:rPr>
                <w:sz w:val="20"/>
                <w:szCs w:val="20"/>
              </w:rPr>
              <w:t>The Commission uses two presentations of disability assessments:</w:t>
            </w:r>
          </w:p>
          <w:p w:rsidR="0063459B" w:rsidRPr="00FD3000" w:rsidRDefault="0063459B" w:rsidP="00BD0F62">
            <w:pPr>
              <w:pStyle w:val="CGCBulletlist"/>
              <w:numPr>
                <w:ilvl w:val="0"/>
                <w:numId w:val="1"/>
              </w:numPr>
              <w:tabs>
                <w:tab w:val="clear" w:pos="927"/>
                <w:tab w:val="num" w:pos="4188"/>
              </w:tabs>
              <w:ind w:left="1134" w:hanging="567"/>
              <w:rPr>
                <w:sz w:val="20"/>
              </w:rPr>
            </w:pPr>
            <w:r w:rsidRPr="00FD3000">
              <w:rPr>
                <w:sz w:val="20"/>
              </w:rPr>
              <w:t>factor based approach</w:t>
            </w:r>
          </w:p>
          <w:p w:rsidR="0063459B" w:rsidRPr="00FD3000" w:rsidRDefault="0063459B" w:rsidP="00BD0F62">
            <w:pPr>
              <w:pStyle w:val="CGCBulletlist"/>
              <w:numPr>
                <w:ilvl w:val="0"/>
                <w:numId w:val="1"/>
              </w:numPr>
              <w:tabs>
                <w:tab w:val="clear" w:pos="927"/>
                <w:tab w:val="num" w:pos="4188"/>
              </w:tabs>
              <w:ind w:left="1134" w:hanging="567"/>
              <w:rPr>
                <w:sz w:val="20"/>
              </w:rPr>
            </w:pPr>
            <w:r w:rsidRPr="00FD3000">
              <w:rPr>
                <w:sz w:val="20"/>
              </w:rPr>
              <w:t xml:space="preserve">State shares of disability measure. </w:t>
            </w:r>
          </w:p>
          <w:p w:rsidR="0063459B" w:rsidRPr="00620F70" w:rsidRDefault="0063459B" w:rsidP="00BD0F62">
            <w:pPr>
              <w:pStyle w:val="CGCNumberedPara"/>
              <w:numPr>
                <w:ilvl w:val="0"/>
                <w:numId w:val="0"/>
              </w:numPr>
              <w:spacing w:line="240" w:lineRule="auto"/>
              <w:rPr>
                <w:sz w:val="20"/>
                <w:szCs w:val="20"/>
              </w:rPr>
            </w:pPr>
            <w:r w:rsidRPr="006D52E9">
              <w:rPr>
                <w:b/>
                <w:i/>
                <w:sz w:val="20"/>
              </w:rPr>
              <w:t>Factor based approach.</w:t>
            </w:r>
            <w:r w:rsidRPr="00172658">
              <w:rPr>
                <w:sz w:val="20"/>
                <w:szCs w:val="20"/>
              </w:rPr>
              <w:t xml:space="preserve"> A disability factor for a State is calculated by relating its position to the average position. For example, for post-secondary education, a State’s relative disability factor is measured by comparing the proportion of its population aged 15 to 64 with the average proportion for the States as a whole. </w:t>
            </w:r>
            <w:r w:rsidRPr="00620F70">
              <w:rPr>
                <w:sz w:val="20"/>
                <w:szCs w:val="20"/>
              </w:rPr>
              <w:t xml:space="preserve">The disability factor can be written as the State ratio of the disability measure </w:t>
            </w:r>
            <m:oMath>
              <m:r>
                <m:rPr>
                  <m:sty m:val="p"/>
                </m:rPr>
                <w:rPr>
                  <w:rFonts w:ascii="Cambria Math" w:hAnsi="Cambria Math"/>
                  <w:sz w:val="20"/>
                  <w:szCs w:val="20"/>
                </w:rPr>
                <m:t>θ,</m:t>
              </m:r>
            </m:oMath>
            <w:r w:rsidRPr="00385EFC">
              <w:rPr>
                <w:sz w:val="20"/>
                <w:szCs w:val="20"/>
              </w:rPr>
              <w:t xml:space="preserve"> such as </w:t>
            </w:r>
            <w:r w:rsidR="0066787E">
              <w:rPr>
                <w:sz w:val="20"/>
                <w:szCs w:val="20"/>
              </w:rPr>
              <w:t xml:space="preserve">the </w:t>
            </w:r>
            <w:r w:rsidRPr="00172658">
              <w:rPr>
                <w:sz w:val="20"/>
                <w:szCs w:val="20"/>
              </w:rPr>
              <w:t>population aged 15 to 64</w:t>
            </w:r>
            <w:r>
              <w:rPr>
                <w:sz w:val="20"/>
                <w:szCs w:val="20"/>
              </w:rPr>
              <w:t xml:space="preserve"> </w:t>
            </w:r>
            <w:r w:rsidRPr="00620F70">
              <w:rPr>
                <w:sz w:val="20"/>
                <w:szCs w:val="20"/>
              </w:rPr>
              <w:t xml:space="preserve">over the </w:t>
            </w:r>
            <w:r>
              <w:rPr>
                <w:sz w:val="20"/>
                <w:szCs w:val="20"/>
              </w:rPr>
              <w:t xml:space="preserve">State </w:t>
            </w:r>
            <w:r w:rsidRPr="00620F70">
              <w:rPr>
                <w:sz w:val="20"/>
                <w:szCs w:val="20"/>
              </w:rPr>
              <w:t xml:space="preserve">population divided by the equivalent </w:t>
            </w:r>
            <w:r w:rsidR="005063F9">
              <w:rPr>
                <w:sz w:val="20"/>
                <w:szCs w:val="20"/>
              </w:rPr>
              <w:t>all State</w:t>
            </w:r>
            <w:r w:rsidRPr="00620F70">
              <w:rPr>
                <w:sz w:val="20"/>
                <w:szCs w:val="20"/>
              </w:rPr>
              <w:t xml:space="preserve"> ratio, as shown in equation </w:t>
            </w:r>
            <w:r>
              <w:rPr>
                <w:sz w:val="20"/>
                <w:szCs w:val="20"/>
              </w:rPr>
              <w:t>(</w:t>
            </w:r>
            <w:r w:rsidR="00DC2F8C">
              <w:rPr>
                <w:sz w:val="20"/>
                <w:szCs w:val="20"/>
              </w:rPr>
              <w:t>A</w:t>
            </w:r>
            <w:r>
              <w:rPr>
                <w:sz w:val="20"/>
                <w:szCs w:val="20"/>
              </w:rPr>
              <w:t>)</w:t>
            </w:r>
            <w:r w:rsidRPr="00620F70">
              <w:rPr>
                <w:sz w:val="20"/>
                <w:szCs w:val="20"/>
              </w:rPr>
              <w:t>.</w:t>
            </w:r>
          </w:p>
          <w:p w:rsidR="0063459B" w:rsidRPr="00A93A68" w:rsidRDefault="004A541C" w:rsidP="00BD0F62">
            <w:pPr>
              <w:rPr>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γ</m:t>
                    </m:r>
                  </m:e>
                  <m:sub>
                    <m:r>
                      <m:rPr>
                        <m:sty m:val="p"/>
                      </m:rPr>
                      <w:rPr>
                        <w:rFonts w:ascii="Cambria Math" w:hAnsi="Cambria Math"/>
                        <w:sz w:val="20"/>
                        <w:szCs w:val="20"/>
                      </w:rPr>
                      <m:t>i</m:t>
                    </m:r>
                  </m:sub>
                </m:sSub>
                <m:r>
                  <m:rPr>
                    <m:sty m:val="p"/>
                  </m:rPr>
                  <w:rPr>
                    <w:rFonts w:ascii="Cambria Math" w:hAnsi="Cambria Math"/>
                    <w:sz w:val="20"/>
                    <w:szCs w:val="20"/>
                  </w:rPr>
                  <m:t xml:space="preserve">= </m:t>
                </m:r>
                <m:d>
                  <m:dPr>
                    <m:ctrlPr>
                      <w:rPr>
                        <w:rFonts w:ascii="Cambria Math" w:hAnsi="Cambria Math"/>
                        <w:sz w:val="20"/>
                        <w:szCs w:val="20"/>
                      </w:rPr>
                    </m:ctrlPr>
                  </m:dPr>
                  <m:e>
                    <m:f>
                      <m:fPr>
                        <m:type m:val="lin"/>
                        <m:ctrlPr>
                          <w:rPr>
                            <w:rFonts w:ascii="Cambria Math" w:hAnsi="Cambria Math"/>
                            <w:sz w:val="20"/>
                            <w:szCs w:val="20"/>
                          </w:rPr>
                        </m:ctrlPr>
                      </m:fPr>
                      <m:num>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i</m:t>
                                </m:r>
                              </m:sub>
                            </m:sSub>
                          </m:num>
                          <m:den>
                            <m:sSub>
                              <m:sSubPr>
                                <m:ctrlPr>
                                  <w:rPr>
                                    <w:rFonts w:ascii="Cambria Math" w:hAnsi="Cambria Math"/>
                                    <w:i/>
                                    <w:sz w:val="20"/>
                                    <w:szCs w:val="20"/>
                                  </w:rPr>
                                </m:ctrlPr>
                              </m:sSubPr>
                              <m:e>
                                <m:r>
                                  <m:rPr>
                                    <m:sty m:val="p"/>
                                  </m:rPr>
                                  <w:rPr>
                                    <w:rFonts w:ascii="Cambria Math" w:hAnsi="Cambria Math"/>
                                    <w:sz w:val="20"/>
                                    <w:szCs w:val="20"/>
                                  </w:rPr>
                                  <m:t>P</m:t>
                                </m:r>
                              </m:e>
                              <m:sub>
                                <m:r>
                                  <w:rPr>
                                    <w:rFonts w:ascii="Cambria Math" w:hAnsi="Cambria Math"/>
                                    <w:sz w:val="20"/>
                                    <w:szCs w:val="20"/>
                                  </w:rPr>
                                  <m:t>i</m:t>
                                </m:r>
                              </m:sub>
                            </m:sSub>
                          </m:den>
                        </m:f>
                      </m:num>
                      <m:den>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s</m:t>
                                </m:r>
                              </m:sub>
                            </m:sSub>
                          </m:num>
                          <m:den>
                            <m:sSub>
                              <m:sSubPr>
                                <m:ctrlPr>
                                  <w:rPr>
                                    <w:rFonts w:ascii="Cambria Math" w:hAnsi="Cambria Math"/>
                                    <w:i/>
                                    <w:sz w:val="20"/>
                                    <w:szCs w:val="20"/>
                                  </w:rPr>
                                </m:ctrlPr>
                              </m:sSubPr>
                              <m:e>
                                <m:r>
                                  <m:rPr>
                                    <m:sty m:val="p"/>
                                  </m:rPr>
                                  <w:rPr>
                                    <w:rFonts w:ascii="Cambria Math" w:hAnsi="Cambria Math"/>
                                    <w:sz w:val="20"/>
                                    <w:szCs w:val="20"/>
                                  </w:rPr>
                                  <m:t>P</m:t>
                                </m:r>
                              </m:e>
                              <m:sub>
                                <m:r>
                                  <w:rPr>
                                    <w:rFonts w:ascii="Cambria Math" w:hAnsi="Cambria Math"/>
                                    <w:sz w:val="20"/>
                                    <w:szCs w:val="20"/>
                                  </w:rPr>
                                  <m:t>s</m:t>
                                </m:r>
                              </m:sub>
                            </m:sSub>
                          </m:den>
                        </m:f>
                      </m:den>
                    </m:f>
                  </m:e>
                </m:d>
                <m:r>
                  <m:rPr>
                    <m:sty m:val="p"/>
                  </m:rPr>
                  <w:rPr>
                    <w:rFonts w:ascii="Cambria Math" w:hAnsi="Cambria Math"/>
                    <w:sz w:val="20"/>
                    <w:szCs w:val="20"/>
                  </w:rPr>
                  <m:t xml:space="preserve">        (A)  </m:t>
                </m:r>
              </m:oMath>
            </m:oMathPara>
          </w:p>
          <w:p w:rsidR="0063459B" w:rsidRPr="00F3372A" w:rsidRDefault="0063459B" w:rsidP="00BD0F62">
            <w:pPr>
              <w:pStyle w:val="CGCNumberedPara"/>
              <w:numPr>
                <w:ilvl w:val="0"/>
                <w:numId w:val="0"/>
              </w:numPr>
              <w:spacing w:line="240" w:lineRule="auto"/>
              <w:rPr>
                <w:sz w:val="20"/>
                <w:szCs w:val="20"/>
              </w:rPr>
            </w:pPr>
            <w:r>
              <w:rPr>
                <w:sz w:val="20"/>
                <w:szCs w:val="20"/>
              </w:rPr>
              <w:t>To derive assessed expenditure for a State, the factor is multiplied by the average per capita expenditure and then multiplied by the State’s population, as</w:t>
            </w:r>
            <w:r>
              <w:rPr>
                <w:sz w:val="20"/>
              </w:rPr>
              <w:t xml:space="preserve"> shown in equation (</w:t>
            </w:r>
            <w:r w:rsidR="00DC2F8C">
              <w:rPr>
                <w:sz w:val="20"/>
              </w:rPr>
              <w:t>B</w:t>
            </w:r>
            <w:r>
              <w:rPr>
                <w:sz w:val="20"/>
              </w:rPr>
              <w:t>)</w:t>
            </w:r>
          </w:p>
          <w:p w:rsidR="0063459B" w:rsidRPr="0019260D" w:rsidRDefault="004A541C" w:rsidP="00BD0F62">
            <w:pPr>
              <w:rPr>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AE</m:t>
                    </m:r>
                  </m:e>
                  <m:sub>
                    <m:r>
                      <m:rPr>
                        <m:sty m:val="p"/>
                      </m:rPr>
                      <w:rPr>
                        <w:rFonts w:ascii="Cambria Math" w:hAnsi="Cambria Math"/>
                        <w:sz w:val="20"/>
                        <w:szCs w:val="20"/>
                      </w:rPr>
                      <m:t>i</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m:t>
                    </m:r>
                  </m:sub>
                </m:sSub>
                <m:r>
                  <m:rPr>
                    <m:sty m:val="p"/>
                  </m:rP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sz w:val="20"/>
                            <w:szCs w:val="20"/>
                          </w:rPr>
                        </m:ctrlPr>
                      </m:sSubPr>
                      <m:e>
                        <m:r>
                          <m:rPr>
                            <m:sty m:val="p"/>
                          </m:rPr>
                          <w:rPr>
                            <w:rFonts w:ascii="Cambria Math" w:hAnsi="Cambria Math"/>
                            <w:sz w:val="20"/>
                            <w:szCs w:val="20"/>
                          </w:rPr>
                          <m:t>E</m:t>
                        </m:r>
                      </m:e>
                      <m:sub>
                        <m:r>
                          <m:rPr>
                            <m:sty m:val="p"/>
                          </m:rPr>
                          <w:rPr>
                            <w:rFonts w:ascii="Cambria Math" w:hAnsi="Cambria Math"/>
                            <w:sz w:val="20"/>
                            <w:szCs w:val="20"/>
                          </w:rPr>
                          <m:t>s</m:t>
                        </m:r>
                      </m:sub>
                    </m:sSub>
                  </m:num>
                  <m:den>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s</m:t>
                        </m:r>
                      </m:sub>
                    </m:sSub>
                  </m:den>
                </m:f>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γ</m:t>
                    </m:r>
                  </m:e>
                  <m:sub>
                    <m:r>
                      <m:rPr>
                        <m:sty m:val="p"/>
                      </m:rPr>
                      <w:rPr>
                        <w:rFonts w:ascii="Cambria Math" w:hAnsi="Cambria Math"/>
                        <w:sz w:val="20"/>
                        <w:szCs w:val="20"/>
                      </w:rPr>
                      <m:t>i</m:t>
                    </m:r>
                  </m:sub>
                </m:sSub>
                <m:r>
                  <m:rPr>
                    <m:sty m:val="p"/>
                  </m:rPr>
                  <w:rPr>
                    <w:rFonts w:ascii="Cambria Math" w:hAnsi="Cambria Math"/>
                    <w:sz w:val="20"/>
                    <w:szCs w:val="20"/>
                  </w:rPr>
                  <m:t xml:space="preserve">                     (B)        </m:t>
                </m:r>
              </m:oMath>
            </m:oMathPara>
          </w:p>
          <w:p w:rsidR="0063459B" w:rsidRPr="00F12A03" w:rsidRDefault="0063459B" w:rsidP="00BD0F62">
            <w:pPr>
              <w:spacing w:after="0"/>
              <w:rPr>
                <w:rStyle w:val="NoSpacingChar"/>
                <w:sz w:val="20"/>
                <w:szCs w:val="20"/>
              </w:rPr>
            </w:pPr>
            <w:r w:rsidRPr="00F12A03">
              <w:rPr>
                <w:sz w:val="20"/>
                <w:szCs w:val="20"/>
              </w:rPr>
              <w:t>Where:</w:t>
            </w:r>
          </w:p>
          <w:p w:rsidR="0063459B" w:rsidRDefault="0063459B" w:rsidP="00BD0F62">
            <w:pPr>
              <w:tabs>
                <w:tab w:val="left" w:pos="2410"/>
              </w:tabs>
              <w:spacing w:after="0" w:line="200" w:lineRule="atLeast"/>
              <w:ind w:left="2410" w:hanging="1418"/>
              <w:rPr>
                <w:sz w:val="20"/>
                <w:szCs w:val="20"/>
              </w:rPr>
            </w:pPr>
            <w:r>
              <w:rPr>
                <w:sz w:val="20"/>
                <w:szCs w:val="20"/>
              </w:rPr>
              <w:t>AE</w:t>
            </w:r>
            <w:r w:rsidRPr="009A62B7">
              <w:rPr>
                <w:sz w:val="20"/>
                <w:szCs w:val="20"/>
              </w:rPr>
              <w:tab/>
              <w:t xml:space="preserve">assessed </w:t>
            </w:r>
            <w:r>
              <w:rPr>
                <w:sz w:val="20"/>
                <w:szCs w:val="20"/>
              </w:rPr>
              <w:t>expenditure</w:t>
            </w:r>
          </w:p>
          <w:p w:rsidR="0063459B" w:rsidRPr="00F12A03" w:rsidRDefault="0063459B" w:rsidP="00BD0F62">
            <w:pPr>
              <w:tabs>
                <w:tab w:val="left" w:pos="2410"/>
              </w:tabs>
              <w:spacing w:after="0" w:line="200" w:lineRule="atLeast"/>
              <w:ind w:left="2410" w:hanging="1418"/>
              <w:rPr>
                <w:sz w:val="20"/>
                <w:szCs w:val="20"/>
              </w:rPr>
            </w:pPr>
            <w:r w:rsidRPr="00F12A03">
              <w:rPr>
                <w:sz w:val="20"/>
                <w:szCs w:val="20"/>
              </w:rPr>
              <w:t xml:space="preserve">i, s </w:t>
            </w:r>
            <w:r w:rsidRPr="00F12A03">
              <w:rPr>
                <w:sz w:val="20"/>
                <w:szCs w:val="20"/>
              </w:rPr>
              <w:tab/>
              <w:t>subscripts denote an individual State (i) or all States (s)</w:t>
            </w:r>
          </w:p>
          <w:p w:rsidR="0063459B" w:rsidRDefault="0063459B" w:rsidP="00BD0F62">
            <w:pPr>
              <w:tabs>
                <w:tab w:val="left" w:pos="2410"/>
              </w:tabs>
              <w:spacing w:after="0" w:line="200" w:lineRule="atLeast"/>
              <w:ind w:left="2410" w:hanging="1418"/>
              <w:rPr>
                <w:sz w:val="20"/>
                <w:szCs w:val="20"/>
              </w:rPr>
            </w:pPr>
            <w:r>
              <w:rPr>
                <w:sz w:val="20"/>
                <w:szCs w:val="20"/>
              </w:rPr>
              <w:t>P</w:t>
            </w:r>
            <w:r w:rsidRPr="00F12A03">
              <w:rPr>
                <w:sz w:val="20"/>
                <w:szCs w:val="20"/>
              </w:rPr>
              <w:tab/>
            </w:r>
            <w:r>
              <w:rPr>
                <w:sz w:val="20"/>
                <w:szCs w:val="20"/>
              </w:rPr>
              <w:t xml:space="preserve">population </w:t>
            </w:r>
          </w:p>
          <w:p w:rsidR="0063459B" w:rsidRPr="00F12A03" w:rsidRDefault="0063459B" w:rsidP="00BD0F62">
            <w:pPr>
              <w:tabs>
                <w:tab w:val="left" w:pos="2410"/>
              </w:tabs>
              <w:spacing w:after="0" w:line="200" w:lineRule="atLeast"/>
              <w:ind w:left="2410" w:hanging="1418"/>
              <w:rPr>
                <w:sz w:val="20"/>
                <w:szCs w:val="20"/>
              </w:rPr>
            </w:pPr>
            <w:r w:rsidRPr="00F12A03">
              <w:rPr>
                <w:sz w:val="20"/>
                <w:szCs w:val="20"/>
              </w:rPr>
              <w:t>E</w:t>
            </w:r>
            <w:r>
              <w:rPr>
                <w:sz w:val="20"/>
                <w:szCs w:val="20"/>
              </w:rPr>
              <w:tab/>
              <w:t>total State expenditure</w:t>
            </w:r>
          </w:p>
          <w:p w:rsidR="0063459B" w:rsidRPr="00F12A03" w:rsidRDefault="0063459B" w:rsidP="00BD0F62">
            <w:pPr>
              <w:tabs>
                <w:tab w:val="left" w:pos="2410"/>
              </w:tabs>
              <w:spacing w:line="200" w:lineRule="atLeast"/>
              <w:ind w:left="2410" w:hanging="1418"/>
              <w:rPr>
                <w:sz w:val="20"/>
                <w:szCs w:val="20"/>
              </w:rPr>
            </w:pPr>
            <w:proofErr w:type="gramStart"/>
            <w:r w:rsidRPr="00F12A03">
              <w:rPr>
                <w:sz w:val="20"/>
                <w:szCs w:val="20"/>
              </w:rPr>
              <w:t>γ</w:t>
            </w:r>
            <w:proofErr w:type="gramEnd"/>
            <w:r w:rsidRPr="00F12A03">
              <w:rPr>
                <w:sz w:val="20"/>
                <w:szCs w:val="20"/>
              </w:rPr>
              <w:tab/>
              <w:t xml:space="preserve">assessed </w:t>
            </w:r>
            <w:r>
              <w:rPr>
                <w:sz w:val="20"/>
                <w:szCs w:val="20"/>
              </w:rPr>
              <w:t xml:space="preserve">cost </w:t>
            </w:r>
            <w:r w:rsidRPr="00F12A03">
              <w:rPr>
                <w:sz w:val="20"/>
                <w:szCs w:val="20"/>
              </w:rPr>
              <w:t xml:space="preserve">disability factor for </w:t>
            </w:r>
            <w:r>
              <w:rPr>
                <w:sz w:val="20"/>
                <w:szCs w:val="20"/>
              </w:rPr>
              <w:t>an expenditure</w:t>
            </w:r>
            <w:r w:rsidR="005063F9">
              <w:rPr>
                <w:sz w:val="20"/>
                <w:szCs w:val="20"/>
              </w:rPr>
              <w:t>.</w:t>
            </w:r>
          </w:p>
          <w:p w:rsidR="0063459B" w:rsidRDefault="0063459B" w:rsidP="00BD0F62">
            <w:pPr>
              <w:pStyle w:val="CGCNumberedPara"/>
              <w:numPr>
                <w:ilvl w:val="0"/>
                <w:numId w:val="0"/>
              </w:numPr>
              <w:spacing w:line="240" w:lineRule="auto"/>
              <w:rPr>
                <w:sz w:val="20"/>
                <w:szCs w:val="20"/>
              </w:rPr>
            </w:pPr>
            <w:r w:rsidRPr="006D52E9">
              <w:rPr>
                <w:b/>
                <w:i/>
                <w:sz w:val="20"/>
              </w:rPr>
              <w:t>State shares of disability measure.</w:t>
            </w:r>
            <w:r>
              <w:rPr>
                <w:sz w:val="20"/>
                <w:szCs w:val="20"/>
              </w:rPr>
              <w:t xml:space="preserve"> The State shares of disability measure shows directly the State share of total expenditure by multiplying a State share of the disability measure by total expenditure. For example, to assess expenditure for post</w:t>
            </w:r>
            <w:r>
              <w:rPr>
                <w:sz w:val="20"/>
                <w:szCs w:val="20"/>
              </w:rPr>
              <w:noBreakHyphen/>
              <w:t xml:space="preserve">secondary education a State’s share of the total </w:t>
            </w:r>
            <w:r w:rsidRPr="00172658">
              <w:rPr>
                <w:sz w:val="20"/>
                <w:szCs w:val="20"/>
              </w:rPr>
              <w:t>population aged 15 to 64</w:t>
            </w:r>
            <w:r>
              <w:rPr>
                <w:sz w:val="20"/>
                <w:szCs w:val="20"/>
              </w:rPr>
              <w:t xml:space="preserve"> is multiplied by the total expenditure. The equivalence of this presentation and the factor based approach is shown below.</w:t>
            </w:r>
          </w:p>
          <w:p w:rsidR="0063459B" w:rsidRPr="00620F70" w:rsidRDefault="0063459B" w:rsidP="00BD0F62">
            <w:pPr>
              <w:rPr>
                <w:sz w:val="20"/>
                <w:szCs w:val="20"/>
              </w:rPr>
            </w:pPr>
            <w:r w:rsidRPr="00620F70">
              <w:rPr>
                <w:sz w:val="20"/>
                <w:szCs w:val="20"/>
              </w:rPr>
              <w:t>The terms in equation (</w:t>
            </w:r>
            <w:r w:rsidR="00FF176A">
              <w:rPr>
                <w:sz w:val="20"/>
                <w:szCs w:val="20"/>
              </w:rPr>
              <w:t>A</w:t>
            </w:r>
            <w:r w:rsidRPr="00620F70">
              <w:rPr>
                <w:sz w:val="20"/>
                <w:szCs w:val="20"/>
              </w:rPr>
              <w:t xml:space="preserve">) </w:t>
            </w:r>
            <w:r>
              <w:rPr>
                <w:sz w:val="20"/>
                <w:szCs w:val="20"/>
              </w:rPr>
              <w:t>and equation (</w:t>
            </w:r>
            <w:r w:rsidR="00FF176A">
              <w:rPr>
                <w:sz w:val="20"/>
                <w:szCs w:val="20"/>
              </w:rPr>
              <w:t>B</w:t>
            </w:r>
            <w:r>
              <w:rPr>
                <w:sz w:val="20"/>
                <w:szCs w:val="20"/>
              </w:rPr>
              <w:t xml:space="preserve">) </w:t>
            </w:r>
            <w:r w:rsidRPr="00620F70">
              <w:rPr>
                <w:sz w:val="20"/>
                <w:szCs w:val="20"/>
              </w:rPr>
              <w:t>can be rearranged as shown in equation (</w:t>
            </w:r>
            <w:r w:rsidR="00DC2F8C" w:rsidRPr="00620F70">
              <w:rPr>
                <w:sz w:val="20"/>
                <w:szCs w:val="20"/>
              </w:rPr>
              <w:t>C</w:t>
            </w:r>
            <w:r w:rsidRPr="00620F70">
              <w:rPr>
                <w:sz w:val="20"/>
                <w:szCs w:val="20"/>
              </w:rPr>
              <w:t>)</w:t>
            </w:r>
            <w:r>
              <w:rPr>
                <w:sz w:val="20"/>
                <w:szCs w:val="20"/>
              </w:rPr>
              <w:t>.</w:t>
            </w:r>
          </w:p>
          <w:p w:rsidR="0063459B" w:rsidRPr="00A93A68" w:rsidRDefault="004A541C" w:rsidP="00BD0F62">
            <w:pPr>
              <w:rPr>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AE</m:t>
                    </m:r>
                  </m:e>
                  <m:sub>
                    <m:r>
                      <m:rPr>
                        <m:sty m:val="p"/>
                      </m:rPr>
                      <w:rPr>
                        <w:rFonts w:ascii="Cambria Math" w:hAnsi="Cambria Math"/>
                        <w:sz w:val="20"/>
                        <w:szCs w:val="20"/>
                      </w:rPr>
                      <m:t>i</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E</m:t>
                    </m:r>
                  </m:e>
                  <m:sub>
                    <m:r>
                      <m:rPr>
                        <m:sty m:val="p"/>
                      </m:rPr>
                      <w:rPr>
                        <w:rFonts w:ascii="Cambria Math" w:hAnsi="Cambria Math"/>
                        <w:sz w:val="20"/>
                        <w:szCs w:val="20"/>
                      </w:rPr>
                      <m:t>s</m:t>
                    </m:r>
                  </m:sub>
                </m:sSub>
                <m:r>
                  <m:rPr>
                    <m:sty m:val="p"/>
                  </m:rP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s</m:t>
                        </m:r>
                      </m:sub>
                    </m:sSub>
                  </m:den>
                </m:f>
                <m:r>
                  <m:rPr>
                    <m:sty m:val="p"/>
                  </m:rP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i</m:t>
                        </m:r>
                      </m:sub>
                    </m:sSub>
                    <m:r>
                      <w:rPr>
                        <w:rFonts w:ascii="Cambria Math" w:hAnsi="Cambria Math"/>
                        <w:sz w:val="20"/>
                        <w:szCs w:val="20"/>
                      </w:rPr>
                      <m:t xml:space="preserve"> </m:t>
                    </m:r>
                  </m:num>
                  <m:den>
                    <m:sSub>
                      <m:sSubPr>
                        <m:ctrlPr>
                          <w:rPr>
                            <w:rFonts w:ascii="Cambria Math" w:hAnsi="Cambria Math"/>
                            <w:i/>
                            <w:sz w:val="20"/>
                            <w:szCs w:val="20"/>
                          </w:rPr>
                        </m:ctrlPr>
                      </m:sSubPr>
                      <m:e>
                        <m:r>
                          <m:rPr>
                            <m:sty m:val="p"/>
                          </m:rPr>
                          <w:rPr>
                            <w:rFonts w:ascii="Cambria Math" w:hAnsi="Cambria Math"/>
                            <w:sz w:val="20"/>
                            <w:szCs w:val="20"/>
                          </w:rPr>
                          <m:t>P</m:t>
                        </m:r>
                      </m:e>
                      <m:sub>
                        <m:r>
                          <w:rPr>
                            <w:rFonts w:ascii="Cambria Math" w:hAnsi="Cambria Math"/>
                            <w:sz w:val="20"/>
                            <w:szCs w:val="20"/>
                          </w:rPr>
                          <m:t>i</m:t>
                        </m:r>
                      </m:sub>
                    </m:sSub>
                  </m:den>
                </m:f>
                <m:f>
                  <m:fPr>
                    <m:ctrlPr>
                      <w:rPr>
                        <w:rFonts w:ascii="Cambria Math" w:hAnsi="Cambria Math"/>
                        <w:i/>
                        <w:sz w:val="20"/>
                        <w:szCs w:val="20"/>
                      </w:rPr>
                    </m:ctrlPr>
                  </m:fPr>
                  <m:num>
                    <m:sSub>
                      <m:sSubPr>
                        <m:ctrlPr>
                          <w:rPr>
                            <w:rFonts w:ascii="Cambria Math" w:hAnsi="Cambria Math"/>
                            <w:i/>
                            <w:sz w:val="20"/>
                            <w:szCs w:val="20"/>
                          </w:rPr>
                        </m:ctrlPr>
                      </m:sSubPr>
                      <m:e>
                        <m:r>
                          <m:rPr>
                            <m:sty m:val="p"/>
                          </m:rPr>
                          <w:rPr>
                            <w:rFonts w:ascii="Cambria Math" w:hAnsi="Cambria Math"/>
                            <w:sz w:val="20"/>
                            <w:szCs w:val="20"/>
                          </w:rPr>
                          <m:t>P</m:t>
                        </m:r>
                      </m:e>
                      <m:sub>
                        <m:r>
                          <w:rPr>
                            <w:rFonts w:ascii="Cambria Math" w:hAnsi="Cambria Math"/>
                            <w:sz w:val="20"/>
                            <w:szCs w:val="20"/>
                          </w:rPr>
                          <m:t>s</m:t>
                        </m:r>
                      </m:sub>
                    </m:sSub>
                  </m:num>
                  <m:den>
                    <m:sSub>
                      <m:sSubPr>
                        <m:ctrlPr>
                          <w:rPr>
                            <w:rFonts w:ascii="Cambria Math" w:hAnsi="Cambria Math"/>
                            <w:i/>
                            <w:sz w:val="20"/>
                            <w:szCs w:val="20"/>
                          </w:rPr>
                        </m:ctrlPr>
                      </m:sSubPr>
                      <m:e>
                        <m:r>
                          <m:rPr>
                            <m:sty m:val="p"/>
                          </m:rPr>
                          <w:rPr>
                            <w:rFonts w:ascii="Cambria Math" w:hAnsi="Cambria Math"/>
                            <w:sz w:val="20"/>
                            <w:szCs w:val="20"/>
                          </w:rPr>
                          <m:t>θ</m:t>
                        </m:r>
                      </m:e>
                      <m:sub>
                        <m:r>
                          <w:rPr>
                            <w:rFonts w:ascii="Cambria Math" w:hAnsi="Cambria Math"/>
                            <w:sz w:val="20"/>
                            <w:szCs w:val="20"/>
                          </w:rPr>
                          <m:t>s</m:t>
                        </m:r>
                      </m:sub>
                    </m:sSub>
                  </m:den>
                </m:f>
                <m:r>
                  <m:rPr>
                    <m:sty m:val="p"/>
                  </m:rPr>
                  <w:rPr>
                    <w:rFonts w:ascii="Cambria Math" w:hAnsi="Cambria Math"/>
                    <w:sz w:val="20"/>
                    <w:szCs w:val="20"/>
                  </w:rPr>
                  <m:t xml:space="preserve">               (C) </m:t>
                </m:r>
              </m:oMath>
            </m:oMathPara>
          </w:p>
          <w:p w:rsidR="0063459B" w:rsidRPr="00620F70" w:rsidRDefault="0063459B" w:rsidP="00BD0F62">
            <w:pPr>
              <w:pStyle w:val="CGCNumberedPara"/>
              <w:numPr>
                <w:ilvl w:val="0"/>
                <w:numId w:val="0"/>
              </w:numPr>
              <w:spacing w:line="240" w:lineRule="auto"/>
              <w:rPr>
                <w:sz w:val="20"/>
                <w:szCs w:val="20"/>
              </w:rPr>
            </w:pPr>
            <w:r w:rsidRPr="00620F70">
              <w:rPr>
                <w:sz w:val="20"/>
                <w:szCs w:val="20"/>
              </w:rPr>
              <w:t>The State and total populations of equation (</w:t>
            </w:r>
            <w:r w:rsidR="00DC2F8C" w:rsidRPr="00620F70">
              <w:rPr>
                <w:sz w:val="20"/>
                <w:szCs w:val="20"/>
              </w:rPr>
              <w:t>C</w:t>
            </w:r>
            <w:r w:rsidRPr="00620F70">
              <w:rPr>
                <w:sz w:val="20"/>
                <w:szCs w:val="20"/>
              </w:rPr>
              <w:t xml:space="preserve">) cancel out and assessed </w:t>
            </w:r>
            <w:r>
              <w:rPr>
                <w:sz w:val="20"/>
                <w:szCs w:val="20"/>
              </w:rPr>
              <w:t>expenditure</w:t>
            </w:r>
            <w:r w:rsidRPr="00620F70">
              <w:rPr>
                <w:sz w:val="20"/>
                <w:szCs w:val="20"/>
              </w:rPr>
              <w:t xml:space="preserve"> for a State can be expressed as total </w:t>
            </w:r>
            <w:r>
              <w:rPr>
                <w:sz w:val="20"/>
                <w:szCs w:val="20"/>
              </w:rPr>
              <w:t>expenditure</w:t>
            </w:r>
            <w:r w:rsidRPr="00620F70">
              <w:rPr>
                <w:sz w:val="20"/>
                <w:szCs w:val="20"/>
              </w:rPr>
              <w:t xml:space="preserve"> multipl</w:t>
            </w:r>
            <w:r>
              <w:rPr>
                <w:sz w:val="20"/>
                <w:szCs w:val="20"/>
              </w:rPr>
              <w:t xml:space="preserve">ied by </w:t>
            </w:r>
            <w:r w:rsidRPr="00620F70">
              <w:rPr>
                <w:sz w:val="20"/>
                <w:szCs w:val="20"/>
              </w:rPr>
              <w:t>a State</w:t>
            </w:r>
            <w:r>
              <w:rPr>
                <w:sz w:val="20"/>
                <w:szCs w:val="20"/>
              </w:rPr>
              <w:t>’s</w:t>
            </w:r>
            <w:r w:rsidRPr="00620F70">
              <w:rPr>
                <w:sz w:val="20"/>
                <w:szCs w:val="20"/>
              </w:rPr>
              <w:t xml:space="preserve"> share of the disability measure</w:t>
            </w:r>
            <w:r>
              <w:rPr>
                <w:sz w:val="20"/>
                <w:szCs w:val="20"/>
              </w:rPr>
              <w:t>.</w:t>
            </w:r>
          </w:p>
          <w:p w:rsidR="0063459B" w:rsidRPr="00620F70" w:rsidRDefault="004A541C" w:rsidP="00BD0F62">
            <w:pPr>
              <w:rPr>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AE</m:t>
                    </m:r>
                  </m:e>
                  <m:sub>
                    <m:r>
                      <m:rPr>
                        <m:sty m:val="p"/>
                      </m:rPr>
                      <w:rPr>
                        <w:rFonts w:ascii="Cambria Math" w:hAnsi="Cambria Math"/>
                        <w:sz w:val="20"/>
                        <w:szCs w:val="20"/>
                      </w:rPr>
                      <m:t>i</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E</m:t>
                    </m:r>
                  </m:e>
                  <m:sub>
                    <m:r>
                      <m:rPr>
                        <m:sty m:val="p"/>
                      </m:rPr>
                      <w:rPr>
                        <w:rFonts w:ascii="Cambria Math" w:hAnsi="Cambria Math"/>
                        <w:sz w:val="20"/>
                        <w:szCs w:val="20"/>
                      </w:rPr>
                      <m:t>s</m:t>
                    </m:r>
                  </m:sub>
                </m:sSub>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s</m:t>
                        </m:r>
                      </m:sub>
                    </m:sSub>
                  </m:den>
                </m:f>
                <m:r>
                  <m:rPr>
                    <m:sty m:val="p"/>
                  </m:rPr>
                  <w:rPr>
                    <w:rFonts w:ascii="Cambria Math" w:hAnsi="Cambria Math"/>
                    <w:sz w:val="20"/>
                    <w:szCs w:val="20"/>
                  </w:rPr>
                  <m:t xml:space="preserve">                          (D)</m:t>
                </m:r>
              </m:oMath>
            </m:oMathPara>
          </w:p>
          <w:p w:rsidR="0063459B" w:rsidRDefault="0063459B" w:rsidP="00BD0F62">
            <w:pPr>
              <w:pStyle w:val="CGCNumberedPara"/>
              <w:numPr>
                <w:ilvl w:val="0"/>
                <w:numId w:val="0"/>
              </w:numPr>
              <w:spacing w:line="240" w:lineRule="auto"/>
              <w:rPr>
                <w:sz w:val="20"/>
                <w:szCs w:val="20"/>
              </w:rPr>
            </w:pPr>
            <w:r w:rsidRPr="00353EAD">
              <w:rPr>
                <w:b/>
                <w:i/>
                <w:sz w:val="20"/>
                <w:szCs w:val="20"/>
              </w:rPr>
              <w:t xml:space="preserve">Presentation of assessed </w:t>
            </w:r>
            <w:r>
              <w:rPr>
                <w:b/>
                <w:i/>
                <w:sz w:val="20"/>
                <w:szCs w:val="20"/>
              </w:rPr>
              <w:t>expenditure</w:t>
            </w:r>
            <w:r w:rsidRPr="00353EAD">
              <w:rPr>
                <w:b/>
                <w:i/>
                <w:sz w:val="20"/>
                <w:szCs w:val="20"/>
              </w:rPr>
              <w:t>.</w:t>
            </w:r>
            <w:r>
              <w:rPr>
                <w:sz w:val="20"/>
                <w:szCs w:val="20"/>
              </w:rPr>
              <w:t xml:space="preserve"> In the 2015 Review, the Commission decided to present the derivation of assessed expenditure using a combination of both presentations of disability assessment. Use disabilities, such as </w:t>
            </w:r>
            <w:r w:rsidRPr="002E7BF1">
              <w:rPr>
                <w:sz w:val="20"/>
                <w:szCs w:val="20"/>
              </w:rPr>
              <w:t>socio-demographic composition</w:t>
            </w:r>
            <w:r>
              <w:rPr>
                <w:sz w:val="20"/>
                <w:szCs w:val="20"/>
              </w:rPr>
              <w:t xml:space="preserve">, are presented in the Commission’s calculations using the </w:t>
            </w:r>
            <w:r w:rsidRPr="002E7BF1">
              <w:rPr>
                <w:sz w:val="20"/>
                <w:szCs w:val="20"/>
              </w:rPr>
              <w:t>State shares of disability measure</w:t>
            </w:r>
            <w:r>
              <w:rPr>
                <w:sz w:val="20"/>
                <w:szCs w:val="20"/>
              </w:rPr>
              <w:t xml:space="preserve"> approach. Cost disabilities, such as wage costs, are presented using the factor based approach. </w:t>
            </w:r>
          </w:p>
          <w:p w:rsidR="0063459B" w:rsidRPr="00620F70" w:rsidRDefault="0063459B" w:rsidP="00BD0F62">
            <w:pPr>
              <w:rPr>
                <w:sz w:val="20"/>
                <w:szCs w:val="20"/>
              </w:rPr>
            </w:pPr>
            <w:r>
              <w:rPr>
                <w:sz w:val="20"/>
                <w:szCs w:val="20"/>
              </w:rPr>
              <w:t>Equation (</w:t>
            </w:r>
            <w:r w:rsidR="001339B0">
              <w:rPr>
                <w:sz w:val="20"/>
                <w:szCs w:val="20"/>
              </w:rPr>
              <w:t>E</w:t>
            </w:r>
            <w:r>
              <w:rPr>
                <w:sz w:val="20"/>
                <w:szCs w:val="20"/>
              </w:rPr>
              <w:t>) shows how assessed expenditure</w:t>
            </w:r>
            <w:r w:rsidR="00660B6A">
              <w:rPr>
                <w:sz w:val="20"/>
                <w:szCs w:val="20"/>
              </w:rPr>
              <w:t>s</w:t>
            </w:r>
            <w:r>
              <w:rPr>
                <w:sz w:val="20"/>
                <w:szCs w:val="20"/>
              </w:rPr>
              <w:t xml:space="preserve"> are derived in the Commission’s calculations. </w:t>
            </w:r>
          </w:p>
          <w:p w:rsidR="0063459B" w:rsidRPr="00620F70" w:rsidRDefault="004A541C" w:rsidP="00BD0F62">
            <w:pPr>
              <w:rPr>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AE</m:t>
                    </m:r>
                  </m:e>
                  <m:sub>
                    <m:r>
                      <m:rPr>
                        <m:sty m:val="p"/>
                      </m:rPr>
                      <w:rPr>
                        <w:rFonts w:ascii="Cambria Math" w:hAnsi="Cambria Math"/>
                        <w:sz w:val="20"/>
                        <w:szCs w:val="20"/>
                      </w:rPr>
                      <m:t>I</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E</m:t>
                    </m:r>
                  </m:e>
                  <m:sub>
                    <m:r>
                      <m:rPr>
                        <m:sty m:val="p"/>
                      </m:rPr>
                      <w:rPr>
                        <w:rFonts w:ascii="Cambria Math" w:hAnsi="Cambria Math"/>
                        <w:sz w:val="20"/>
                        <w:szCs w:val="20"/>
                      </w:rPr>
                      <m:t>s</m:t>
                    </m:r>
                  </m:sub>
                </m:sSub>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ui</m:t>
                        </m:r>
                      </m:sub>
                    </m:sSub>
                  </m:num>
                  <m:den>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us</m:t>
                        </m:r>
                      </m:sub>
                    </m:sSub>
                  </m:den>
                </m:f>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γ</m:t>
                    </m:r>
                  </m:e>
                  <m:sub>
                    <m:r>
                      <w:rPr>
                        <w:rFonts w:ascii="Cambria Math" w:hAnsi="Cambria Math"/>
                        <w:sz w:val="20"/>
                        <w:szCs w:val="20"/>
                      </w:rPr>
                      <m:t>ci</m:t>
                    </m:r>
                  </m:sub>
                </m:sSub>
                <m:r>
                  <m:rPr>
                    <m:sty m:val="p"/>
                  </m:rPr>
                  <w:rPr>
                    <w:rFonts w:ascii="Cambria Math" w:hAnsi="Cambria Math"/>
                    <w:sz w:val="20"/>
                    <w:szCs w:val="20"/>
                  </w:rPr>
                  <m:t xml:space="preserve">                       (E)</m:t>
                </m:r>
              </m:oMath>
            </m:oMathPara>
          </w:p>
          <w:p w:rsidR="0063459B" w:rsidRPr="00F12A03" w:rsidRDefault="0063459B" w:rsidP="00BD0F62">
            <w:pPr>
              <w:spacing w:after="0"/>
              <w:rPr>
                <w:rStyle w:val="NoSpacingChar"/>
                <w:sz w:val="20"/>
                <w:szCs w:val="20"/>
              </w:rPr>
            </w:pPr>
            <w:r w:rsidRPr="00F12A03">
              <w:rPr>
                <w:sz w:val="20"/>
                <w:szCs w:val="20"/>
              </w:rPr>
              <w:t>Where:</w:t>
            </w:r>
          </w:p>
          <w:p w:rsidR="0063459B" w:rsidRPr="00F12A03" w:rsidRDefault="0063459B" w:rsidP="00BD0F62">
            <w:pPr>
              <w:tabs>
                <w:tab w:val="left" w:pos="2410"/>
              </w:tabs>
              <w:spacing w:after="0" w:line="200" w:lineRule="atLeast"/>
              <w:ind w:left="2410" w:hanging="1418"/>
              <w:rPr>
                <w:sz w:val="20"/>
                <w:szCs w:val="20"/>
              </w:rPr>
            </w:pPr>
            <w:proofErr w:type="gramStart"/>
            <w:r>
              <w:rPr>
                <w:sz w:val="20"/>
                <w:szCs w:val="20"/>
              </w:rPr>
              <w:t>u</w:t>
            </w:r>
            <w:proofErr w:type="gramEnd"/>
            <w:r w:rsidRPr="00F12A03">
              <w:rPr>
                <w:sz w:val="20"/>
                <w:szCs w:val="20"/>
              </w:rPr>
              <w:t xml:space="preserve">, </w:t>
            </w:r>
            <w:r>
              <w:rPr>
                <w:sz w:val="20"/>
                <w:szCs w:val="20"/>
              </w:rPr>
              <w:t>c</w:t>
            </w:r>
            <w:r w:rsidRPr="00F12A03">
              <w:rPr>
                <w:sz w:val="20"/>
                <w:szCs w:val="20"/>
              </w:rPr>
              <w:t xml:space="preserve"> </w:t>
            </w:r>
            <w:r w:rsidRPr="00F12A03">
              <w:rPr>
                <w:sz w:val="20"/>
                <w:szCs w:val="20"/>
              </w:rPr>
              <w:tab/>
            </w:r>
            <w:r>
              <w:rPr>
                <w:sz w:val="20"/>
                <w:szCs w:val="20"/>
              </w:rPr>
              <w:t>use (u) and cost (c) disabilities</w:t>
            </w:r>
            <w:r w:rsidR="009F32FA">
              <w:rPr>
                <w:sz w:val="20"/>
                <w:szCs w:val="20"/>
              </w:rPr>
              <w:t>.</w:t>
            </w:r>
          </w:p>
          <w:p w:rsidR="0063459B" w:rsidRPr="00172658" w:rsidRDefault="0063459B" w:rsidP="00BD0F62">
            <w:pPr>
              <w:tabs>
                <w:tab w:val="left" w:pos="2410"/>
              </w:tabs>
              <w:ind w:left="2410" w:hanging="1417"/>
              <w:rPr>
                <w:sz w:val="20"/>
                <w:szCs w:val="20"/>
              </w:rPr>
            </w:pPr>
          </w:p>
        </w:tc>
      </w:tr>
    </w:tbl>
    <w:p w:rsidR="0063459B" w:rsidRDefault="0063459B" w:rsidP="0063459B">
      <w:pPr>
        <w:pStyle w:val="CGCNumberedPara"/>
        <w:numPr>
          <w:ilvl w:val="1"/>
          <w:numId w:val="3"/>
        </w:numPr>
      </w:pPr>
      <w:r>
        <w:lastRenderedPageBreak/>
        <w:fldChar w:fldCharType="begin"/>
      </w:r>
      <w:r>
        <w:instrText xml:space="preserve"> REF _Ref509564565 \h </w:instrText>
      </w:r>
      <w:r>
        <w:fldChar w:fldCharType="separate"/>
      </w:r>
      <w:r w:rsidR="0066787E">
        <w:t>Figure A-</w:t>
      </w:r>
      <w:r w:rsidR="0066787E">
        <w:rPr>
          <w:noProof/>
        </w:rPr>
        <w:t>2</w:t>
      </w:r>
      <w:r>
        <w:fldChar w:fldCharType="end"/>
      </w:r>
      <w:r>
        <w:t xml:space="preserve"> shows total actual expenditure per capita and total assessed expenditure per capita, average</w:t>
      </w:r>
      <w:r w:rsidR="005063F9">
        <w:t>d</w:t>
      </w:r>
      <w:r>
        <w:t xml:space="preserve"> over 2014-15 to 2016-17.</w:t>
      </w:r>
    </w:p>
    <w:p w:rsidR="0063459B" w:rsidRDefault="0063459B" w:rsidP="0063459B">
      <w:pPr>
        <w:pStyle w:val="Caption"/>
      </w:pPr>
      <w:bookmarkStart w:id="32" w:name="_Ref509564565"/>
      <w:r>
        <w:t xml:space="preserve">Figure </w:t>
      </w:r>
      <w:r w:rsidR="0066787E">
        <w:t>A-</w:t>
      </w:r>
      <w:r w:rsidR="004A541C">
        <w:fldChar w:fldCharType="begin"/>
      </w:r>
      <w:r w:rsidR="004A541C">
        <w:instrText xml:space="preserve"> SEQ Figure \* ARABIC </w:instrText>
      </w:r>
      <w:r w:rsidR="004A541C">
        <w:fldChar w:fldCharType="separate"/>
      </w:r>
      <w:r w:rsidR="0066787E">
        <w:rPr>
          <w:noProof/>
        </w:rPr>
        <w:t>2</w:t>
      </w:r>
      <w:r w:rsidR="004A541C">
        <w:rPr>
          <w:noProof/>
        </w:rPr>
        <w:fldChar w:fldCharType="end"/>
      </w:r>
      <w:bookmarkEnd w:id="32"/>
      <w:r>
        <w:t xml:space="preserve"> </w:t>
      </w:r>
      <w:r>
        <w:tab/>
        <w:t>Total actual and assessed expenditure per capita, average of 2014-15 to 2016</w:t>
      </w:r>
      <w:r>
        <w:noBreakHyphen/>
        <w:t>17</w:t>
      </w:r>
    </w:p>
    <w:p w:rsidR="0066787E" w:rsidRPr="0066787E" w:rsidRDefault="0066787E" w:rsidP="0066787E">
      <w:pPr>
        <w:pStyle w:val="NoSpacing"/>
      </w:pPr>
      <w:r>
        <w:rPr>
          <w:noProof/>
          <w:lang w:eastAsia="en-AU"/>
        </w:rPr>
        <w:drawing>
          <wp:inline distT="0" distB="0" distL="0" distR="0" wp14:anchorId="52DFBB60">
            <wp:extent cx="5657850" cy="3572510"/>
            <wp:effectExtent l="0" t="0" r="0" b="8890"/>
            <wp:docPr id="7" name="Picture 7" descr="Chart shows actual and assessed expenditure per capita in dollars for each State" title="Total actual and assessed expenditure per capita, average of 2014-15 to 2016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7850" cy="3572510"/>
                    </a:xfrm>
                    <a:prstGeom prst="rect">
                      <a:avLst/>
                    </a:prstGeom>
                    <a:noFill/>
                  </pic:spPr>
                </pic:pic>
              </a:graphicData>
            </a:graphic>
          </wp:inline>
        </w:drawing>
      </w:r>
    </w:p>
    <w:p w:rsidR="0063459B" w:rsidRDefault="0063459B" w:rsidP="0063459B">
      <w:pPr>
        <w:pStyle w:val="CGCTableFootnote"/>
      </w:pPr>
      <w:r>
        <w:t xml:space="preserve">Source: </w:t>
      </w:r>
      <w:r>
        <w:tab/>
        <w:t>Commission calculation.</w:t>
      </w:r>
    </w:p>
    <w:p w:rsidR="00660B6A" w:rsidRDefault="00660B6A">
      <w:pPr>
        <w:tabs>
          <w:tab w:val="clear" w:pos="567"/>
        </w:tabs>
        <w:spacing w:after="200" w:line="276" w:lineRule="auto"/>
        <w:rPr>
          <w:szCs w:val="24"/>
        </w:rPr>
      </w:pPr>
      <w:bookmarkStart w:id="33" w:name="_Ref395104490"/>
      <w:r>
        <w:br w:type="page"/>
      </w:r>
    </w:p>
    <w:p w:rsidR="00660B6A" w:rsidRDefault="00660B6A" w:rsidP="00660B6A">
      <w:pPr>
        <w:pStyle w:val="Heading2"/>
      </w:pPr>
      <w:bookmarkStart w:id="34" w:name="_Toc511913525"/>
      <w:r>
        <w:lastRenderedPageBreak/>
        <w:t>Attachment B – GST Redistribution</w:t>
      </w:r>
      <w:bookmarkEnd w:id="34"/>
    </w:p>
    <w:p w:rsidR="0063459B" w:rsidRPr="00B52417" w:rsidRDefault="0063459B" w:rsidP="00660B6A">
      <w:pPr>
        <w:pStyle w:val="CGCNumberedPara"/>
        <w:numPr>
          <w:ilvl w:val="1"/>
          <w:numId w:val="43"/>
        </w:numPr>
      </w:pPr>
      <w:r>
        <w:t xml:space="preserve">In the 2018 Update, the revenue and expenditure assessments redistributed </w:t>
      </w:r>
      <w:proofErr w:type="gramStart"/>
      <w:r>
        <w:t>$7 684 million in GST revenue (</w:t>
      </w:r>
      <w:r w:rsidR="0066787E">
        <w:fldChar w:fldCharType="begin"/>
      </w:r>
      <w:r w:rsidR="0066787E">
        <w:instrText xml:space="preserve"> REF _Ref511913996 \h </w:instrText>
      </w:r>
      <w:r w:rsidR="0066787E">
        <w:fldChar w:fldCharType="separate"/>
      </w:r>
      <w:r w:rsidR="0066787E" w:rsidRPr="00123B11">
        <w:t xml:space="preserve">Table </w:t>
      </w:r>
      <w:r w:rsidR="0066787E">
        <w:t>B-</w:t>
      </w:r>
      <w:r w:rsidR="0066787E">
        <w:rPr>
          <w:noProof/>
        </w:rPr>
        <w:t>1</w:t>
      </w:r>
      <w:r w:rsidR="0066787E">
        <w:fldChar w:fldCharType="end"/>
      </w:r>
      <w:r>
        <w:t>)</w:t>
      </w:r>
      <w:proofErr w:type="gramEnd"/>
      <w:r>
        <w:t>.</w:t>
      </w:r>
    </w:p>
    <w:p w:rsidR="0063459B" w:rsidRDefault="0063459B" w:rsidP="0063459B">
      <w:pPr>
        <w:pStyle w:val="CGCTableHeading"/>
      </w:pPr>
      <w:bookmarkStart w:id="35" w:name="_Ref509565749"/>
      <w:bookmarkStart w:id="36" w:name="_Ref511913996"/>
      <w:r w:rsidRPr="00123B11">
        <w:t xml:space="preserve">Table </w:t>
      </w:r>
      <w:r w:rsidR="0066787E">
        <w:t>B-</w:t>
      </w:r>
      <w:bookmarkEnd w:id="33"/>
      <w:bookmarkEnd w:id="35"/>
      <w:r w:rsidR="0066787E">
        <w:fldChar w:fldCharType="begin"/>
      </w:r>
      <w:r w:rsidR="0066787E">
        <w:instrText xml:space="preserve"> SEQ Table \* ARABIC \r1 </w:instrText>
      </w:r>
      <w:r w:rsidR="0066787E">
        <w:fldChar w:fldCharType="separate"/>
      </w:r>
      <w:r w:rsidR="0066787E">
        <w:rPr>
          <w:noProof/>
        </w:rPr>
        <w:t>1</w:t>
      </w:r>
      <w:r w:rsidR="0066787E">
        <w:fldChar w:fldCharType="end"/>
      </w:r>
      <w:bookmarkEnd w:id="36"/>
      <w:r w:rsidRPr="00123B11">
        <w:tab/>
        <w:t xml:space="preserve">Contribution of each revenue and expenditure category to differences in fiscal capacity, </w:t>
      </w:r>
      <w:r>
        <w:t xml:space="preserve">2018 </w:t>
      </w:r>
      <w:proofErr w:type="gramStart"/>
      <w:r>
        <w:t>Update</w:t>
      </w:r>
      <w:proofErr w:type="gramEnd"/>
    </w:p>
    <w:tbl>
      <w:tblPr>
        <w:tblW w:w="5000" w:type="pct"/>
        <w:tblCellMar>
          <w:left w:w="85" w:type="dxa"/>
          <w:right w:w="85" w:type="dxa"/>
        </w:tblCellMar>
        <w:tblLook w:val="0000" w:firstRow="0" w:lastRow="0" w:firstColumn="0" w:lastColumn="0" w:noHBand="0" w:noVBand="0"/>
      </w:tblPr>
      <w:tblGrid>
        <w:gridCol w:w="2470"/>
        <w:gridCol w:w="739"/>
        <w:gridCol w:w="739"/>
        <w:gridCol w:w="739"/>
        <w:gridCol w:w="739"/>
        <w:gridCol w:w="739"/>
        <w:gridCol w:w="739"/>
        <w:gridCol w:w="739"/>
        <w:gridCol w:w="739"/>
        <w:gridCol w:w="739"/>
      </w:tblGrid>
      <w:tr w:rsidR="0063459B" w:rsidRPr="00FE3F73" w:rsidTr="00FD3BED">
        <w:tc>
          <w:tcPr>
            <w:tcW w:w="1354" w:type="pct"/>
            <w:tcBorders>
              <w:top w:val="single" w:sz="6" w:space="0" w:color="auto"/>
              <w:bottom w:val="single" w:sz="6" w:space="0" w:color="auto"/>
            </w:tcBorders>
            <w:vAlign w:val="bottom"/>
          </w:tcPr>
          <w:p w:rsidR="0063459B" w:rsidRPr="00FE3F73" w:rsidRDefault="0063459B" w:rsidP="00BD0F62">
            <w:pPr>
              <w:pStyle w:val="CGCTableStub"/>
              <w:spacing w:line="240" w:lineRule="auto"/>
              <w:ind w:left="142" w:hanging="142"/>
              <w:rPr>
                <w:rFonts w:cstheme="minorHAnsi"/>
              </w:rPr>
            </w:pPr>
          </w:p>
        </w:tc>
        <w:tc>
          <w:tcPr>
            <w:tcW w:w="405" w:type="pct"/>
            <w:tcBorders>
              <w:top w:val="single" w:sz="6" w:space="0" w:color="auto"/>
              <w:bottom w:val="single" w:sz="6" w:space="0" w:color="auto"/>
            </w:tcBorders>
            <w:vAlign w:val="bottom"/>
          </w:tcPr>
          <w:p w:rsidR="0063459B" w:rsidRPr="00FE3F73" w:rsidRDefault="0063459B" w:rsidP="00BD0F62">
            <w:pPr>
              <w:pStyle w:val="TableColHeadings"/>
              <w:rPr>
                <w:rFonts w:cstheme="minorHAnsi"/>
              </w:rPr>
            </w:pPr>
            <w:r w:rsidRPr="00FE3F73">
              <w:rPr>
                <w:rFonts w:cstheme="minorHAnsi"/>
              </w:rPr>
              <w:t>NSW</w:t>
            </w:r>
          </w:p>
        </w:tc>
        <w:tc>
          <w:tcPr>
            <w:tcW w:w="405" w:type="pct"/>
            <w:tcBorders>
              <w:top w:val="single" w:sz="6" w:space="0" w:color="auto"/>
              <w:bottom w:val="single" w:sz="6" w:space="0" w:color="auto"/>
            </w:tcBorders>
            <w:vAlign w:val="bottom"/>
          </w:tcPr>
          <w:p w:rsidR="0063459B" w:rsidRPr="00FE3F73" w:rsidRDefault="0063459B" w:rsidP="00BD0F62">
            <w:pPr>
              <w:pStyle w:val="TableColHeadings"/>
              <w:rPr>
                <w:rFonts w:cstheme="minorHAnsi"/>
              </w:rPr>
            </w:pPr>
            <w:r w:rsidRPr="00FE3F73">
              <w:rPr>
                <w:rFonts w:cstheme="minorHAnsi"/>
              </w:rPr>
              <w:t>Vic</w:t>
            </w:r>
          </w:p>
        </w:tc>
        <w:tc>
          <w:tcPr>
            <w:tcW w:w="405" w:type="pct"/>
            <w:tcBorders>
              <w:top w:val="single" w:sz="6" w:space="0" w:color="auto"/>
              <w:bottom w:val="single" w:sz="6" w:space="0" w:color="auto"/>
            </w:tcBorders>
            <w:vAlign w:val="bottom"/>
          </w:tcPr>
          <w:p w:rsidR="0063459B" w:rsidRPr="00FE3F73" w:rsidRDefault="0063459B" w:rsidP="00BD0F62">
            <w:pPr>
              <w:pStyle w:val="TableColHeadings"/>
              <w:rPr>
                <w:rFonts w:cstheme="minorHAnsi"/>
              </w:rPr>
            </w:pPr>
            <w:r w:rsidRPr="00FE3F73">
              <w:rPr>
                <w:rFonts w:cstheme="minorHAnsi"/>
              </w:rPr>
              <w:t>Qld</w:t>
            </w:r>
          </w:p>
        </w:tc>
        <w:tc>
          <w:tcPr>
            <w:tcW w:w="405" w:type="pct"/>
            <w:tcBorders>
              <w:top w:val="single" w:sz="6" w:space="0" w:color="auto"/>
              <w:bottom w:val="single" w:sz="6" w:space="0" w:color="auto"/>
            </w:tcBorders>
            <w:vAlign w:val="bottom"/>
          </w:tcPr>
          <w:p w:rsidR="0063459B" w:rsidRPr="00FE3F73" w:rsidRDefault="0063459B" w:rsidP="00BD0F62">
            <w:pPr>
              <w:pStyle w:val="TableColHeadings"/>
              <w:rPr>
                <w:rFonts w:cstheme="minorHAnsi"/>
              </w:rPr>
            </w:pPr>
            <w:r w:rsidRPr="00FE3F73">
              <w:rPr>
                <w:rFonts w:cstheme="minorHAnsi"/>
              </w:rPr>
              <w:t>WA</w:t>
            </w:r>
          </w:p>
        </w:tc>
        <w:tc>
          <w:tcPr>
            <w:tcW w:w="405" w:type="pct"/>
            <w:tcBorders>
              <w:top w:val="single" w:sz="6" w:space="0" w:color="auto"/>
              <w:bottom w:val="single" w:sz="6" w:space="0" w:color="auto"/>
            </w:tcBorders>
            <w:vAlign w:val="bottom"/>
          </w:tcPr>
          <w:p w:rsidR="0063459B" w:rsidRPr="00FE3F73" w:rsidRDefault="0063459B" w:rsidP="00BD0F62">
            <w:pPr>
              <w:pStyle w:val="TableColHeadings"/>
              <w:rPr>
                <w:rFonts w:cstheme="minorHAnsi"/>
              </w:rPr>
            </w:pPr>
            <w:r w:rsidRPr="00FE3F73">
              <w:rPr>
                <w:rFonts w:cstheme="minorHAnsi"/>
              </w:rPr>
              <w:t>SA</w:t>
            </w:r>
          </w:p>
        </w:tc>
        <w:tc>
          <w:tcPr>
            <w:tcW w:w="405" w:type="pct"/>
            <w:tcBorders>
              <w:top w:val="single" w:sz="6" w:space="0" w:color="auto"/>
              <w:bottom w:val="single" w:sz="6" w:space="0" w:color="auto"/>
            </w:tcBorders>
            <w:vAlign w:val="bottom"/>
          </w:tcPr>
          <w:p w:rsidR="0063459B" w:rsidRPr="00FE3F73" w:rsidRDefault="0063459B" w:rsidP="00BD0F62">
            <w:pPr>
              <w:pStyle w:val="TableColHeadings"/>
              <w:rPr>
                <w:rFonts w:cstheme="minorHAnsi"/>
              </w:rPr>
            </w:pPr>
            <w:proofErr w:type="spellStart"/>
            <w:r w:rsidRPr="00FE3F73">
              <w:rPr>
                <w:rFonts w:cstheme="minorHAnsi"/>
              </w:rPr>
              <w:t>Tas</w:t>
            </w:r>
            <w:proofErr w:type="spellEnd"/>
          </w:p>
        </w:tc>
        <w:tc>
          <w:tcPr>
            <w:tcW w:w="405" w:type="pct"/>
            <w:tcBorders>
              <w:top w:val="single" w:sz="6" w:space="0" w:color="auto"/>
              <w:bottom w:val="single" w:sz="6" w:space="0" w:color="auto"/>
            </w:tcBorders>
            <w:vAlign w:val="bottom"/>
          </w:tcPr>
          <w:p w:rsidR="0063459B" w:rsidRPr="00FE3F73" w:rsidRDefault="0063459B" w:rsidP="00BD0F62">
            <w:pPr>
              <w:pStyle w:val="TableColHeadings"/>
              <w:rPr>
                <w:rFonts w:cstheme="minorHAnsi"/>
              </w:rPr>
            </w:pPr>
            <w:r w:rsidRPr="00FE3F73">
              <w:rPr>
                <w:rFonts w:cstheme="minorHAnsi"/>
              </w:rPr>
              <w:t>ACT</w:t>
            </w:r>
          </w:p>
        </w:tc>
        <w:tc>
          <w:tcPr>
            <w:tcW w:w="405" w:type="pct"/>
            <w:tcBorders>
              <w:top w:val="single" w:sz="6" w:space="0" w:color="auto"/>
              <w:bottom w:val="single" w:sz="6" w:space="0" w:color="auto"/>
            </w:tcBorders>
            <w:vAlign w:val="bottom"/>
          </w:tcPr>
          <w:p w:rsidR="0063459B" w:rsidRPr="00FE3F73" w:rsidRDefault="0063459B" w:rsidP="00BD0F62">
            <w:pPr>
              <w:pStyle w:val="TableColHeadings"/>
              <w:rPr>
                <w:rFonts w:cstheme="minorHAnsi"/>
              </w:rPr>
            </w:pPr>
            <w:r w:rsidRPr="00FE3F73">
              <w:rPr>
                <w:rFonts w:cstheme="minorHAnsi"/>
              </w:rPr>
              <w:t>NT</w:t>
            </w:r>
          </w:p>
        </w:tc>
        <w:tc>
          <w:tcPr>
            <w:tcW w:w="405" w:type="pct"/>
            <w:tcBorders>
              <w:top w:val="single" w:sz="6" w:space="0" w:color="auto"/>
              <w:bottom w:val="single" w:sz="6" w:space="0" w:color="auto"/>
            </w:tcBorders>
            <w:vAlign w:val="bottom"/>
          </w:tcPr>
          <w:p w:rsidR="0063459B" w:rsidRPr="00FE3F73" w:rsidRDefault="0063459B" w:rsidP="00BD0F62">
            <w:pPr>
              <w:pStyle w:val="TableColHeadings"/>
              <w:rPr>
                <w:rFonts w:cstheme="minorHAnsi"/>
              </w:rPr>
            </w:pPr>
            <w:proofErr w:type="spellStart"/>
            <w:r>
              <w:rPr>
                <w:rFonts w:cstheme="minorHAnsi"/>
              </w:rPr>
              <w:t>Redist</w:t>
            </w:r>
            <w:proofErr w:type="spellEnd"/>
          </w:p>
        </w:tc>
      </w:tr>
      <w:tr w:rsidR="0063459B" w:rsidRPr="00FE3F73" w:rsidTr="00FD3BED">
        <w:tc>
          <w:tcPr>
            <w:tcW w:w="1354" w:type="pct"/>
            <w:tcMar>
              <w:top w:w="0" w:type="dxa"/>
              <w:bottom w:w="0" w:type="dxa"/>
            </w:tcMar>
            <w:vAlign w:val="bottom"/>
          </w:tcPr>
          <w:p w:rsidR="0063459B" w:rsidRPr="00FE3F73" w:rsidRDefault="0063459B" w:rsidP="00BD0F62">
            <w:pPr>
              <w:pStyle w:val="CGCTableStub"/>
              <w:spacing w:before="0" w:after="0" w:line="240" w:lineRule="auto"/>
              <w:jc w:val="right"/>
              <w:rPr>
                <w:rFonts w:cstheme="minorHAnsi"/>
              </w:rPr>
            </w:pPr>
          </w:p>
        </w:tc>
        <w:tc>
          <w:tcPr>
            <w:tcW w:w="405" w:type="pct"/>
            <w:tcMar>
              <w:top w:w="0" w:type="dxa"/>
              <w:bottom w:w="0" w:type="dxa"/>
            </w:tcMar>
            <w:vAlign w:val="bottom"/>
          </w:tcPr>
          <w:p w:rsidR="0063459B" w:rsidRPr="00FE3F73" w:rsidRDefault="0063459B" w:rsidP="00BD0F62">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63459B" w:rsidRPr="00FE3F73" w:rsidRDefault="0063459B" w:rsidP="00BD0F62">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63459B" w:rsidRPr="00FE3F73" w:rsidRDefault="0063459B" w:rsidP="00BD0F62">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63459B" w:rsidRPr="00FE3F73" w:rsidRDefault="0063459B" w:rsidP="00BD0F62">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63459B" w:rsidRPr="00FE3F73" w:rsidRDefault="0063459B" w:rsidP="00BD0F62">
            <w:pPr>
              <w:pStyle w:val="TableRowNormal"/>
              <w:spacing w:before="0" w:after="0" w:line="240" w:lineRule="auto"/>
              <w:ind w:left="0" w:firstLine="0"/>
              <w:rPr>
                <w:rFonts w:cstheme="minorHAnsi"/>
              </w:rPr>
            </w:pPr>
          </w:p>
        </w:tc>
        <w:tc>
          <w:tcPr>
            <w:tcW w:w="405" w:type="pct"/>
            <w:tcMar>
              <w:top w:w="0" w:type="dxa"/>
              <w:bottom w:w="0" w:type="dxa"/>
            </w:tcMar>
            <w:vAlign w:val="bottom"/>
          </w:tcPr>
          <w:p w:rsidR="0063459B" w:rsidRPr="00FE3F73" w:rsidRDefault="0063459B" w:rsidP="00BD0F62">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63459B" w:rsidRPr="00FE3F73" w:rsidRDefault="0063459B" w:rsidP="00BD0F62">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63459B" w:rsidRPr="00FE3F73" w:rsidRDefault="0063459B" w:rsidP="00BD0F62">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63459B" w:rsidRPr="00FE3F73" w:rsidRDefault="0063459B" w:rsidP="00BD0F62">
            <w:pPr>
              <w:pStyle w:val="TableRowNormal"/>
              <w:spacing w:before="0" w:after="0" w:line="240" w:lineRule="auto"/>
              <w:ind w:left="0" w:firstLine="0"/>
              <w:rPr>
                <w:rFonts w:cstheme="minorHAnsi"/>
              </w:rPr>
            </w:pPr>
            <w:r>
              <w:rPr>
                <w:rFonts w:cstheme="minorHAnsi"/>
              </w:rPr>
              <w:t>$m</w:t>
            </w:r>
          </w:p>
        </w:tc>
      </w:tr>
      <w:tr w:rsidR="0063459B" w:rsidRPr="00FE3F73" w:rsidTr="00FD3BED">
        <w:tc>
          <w:tcPr>
            <w:tcW w:w="1354" w:type="pct"/>
            <w:vAlign w:val="bottom"/>
          </w:tcPr>
          <w:p w:rsidR="0063459B" w:rsidRPr="00F72194" w:rsidRDefault="0063459B" w:rsidP="00BD0F62">
            <w:pPr>
              <w:pStyle w:val="CGCTableStub"/>
              <w:tabs>
                <w:tab w:val="left" w:pos="142"/>
                <w:tab w:val="left" w:pos="425"/>
                <w:tab w:val="left" w:pos="709"/>
                <w:tab w:val="left" w:pos="851"/>
              </w:tabs>
              <w:spacing w:before="0" w:after="0"/>
              <w:ind w:left="142" w:hanging="142"/>
              <w:rPr>
                <w:rFonts w:cstheme="minorHAnsi"/>
              </w:rPr>
            </w:pPr>
            <w:r w:rsidRPr="00F72194">
              <w:rPr>
                <w:rFonts w:cstheme="minorHAnsi"/>
              </w:rPr>
              <w:t>Payroll tax</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-536</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423</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478</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-993</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466</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200</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7</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-46</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w:t>
            </w:r>
            <w:r>
              <w:rPr>
                <w:rFonts w:cstheme="minorHAnsi"/>
              </w:rPr>
              <w:t xml:space="preserve"> </w:t>
            </w:r>
            <w:r w:rsidRPr="00F72194">
              <w:rPr>
                <w:rFonts w:cstheme="minorHAnsi"/>
              </w:rPr>
              <w:t>575</w:t>
            </w:r>
          </w:p>
        </w:tc>
      </w:tr>
      <w:tr w:rsidR="0063459B" w:rsidRPr="00FE3F73" w:rsidTr="00FD3BED">
        <w:tc>
          <w:tcPr>
            <w:tcW w:w="1354" w:type="pct"/>
            <w:vAlign w:val="bottom"/>
          </w:tcPr>
          <w:p w:rsidR="0063459B" w:rsidRPr="00F72194" w:rsidRDefault="0063459B" w:rsidP="00BD0F62">
            <w:pPr>
              <w:pStyle w:val="CGCTableStub"/>
              <w:tabs>
                <w:tab w:val="left" w:pos="142"/>
                <w:tab w:val="left" w:pos="425"/>
                <w:tab w:val="left" w:pos="709"/>
                <w:tab w:val="left" w:pos="851"/>
              </w:tabs>
              <w:spacing w:before="0" w:after="0"/>
              <w:ind w:left="142" w:hanging="142"/>
              <w:rPr>
                <w:rFonts w:cstheme="minorHAnsi"/>
              </w:rPr>
            </w:pPr>
            <w:r w:rsidRPr="00F72194">
              <w:rPr>
                <w:rFonts w:cstheme="minorHAnsi"/>
              </w:rPr>
              <w:t>Land tax</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-449</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-234</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406</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-173</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266</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95</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64</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25</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857</w:t>
            </w:r>
          </w:p>
        </w:tc>
      </w:tr>
      <w:tr w:rsidR="0063459B" w:rsidRPr="00FE3F73" w:rsidTr="00FD3BED">
        <w:tc>
          <w:tcPr>
            <w:tcW w:w="1354" w:type="pct"/>
            <w:vAlign w:val="bottom"/>
          </w:tcPr>
          <w:p w:rsidR="0063459B" w:rsidRPr="00F72194" w:rsidRDefault="0063459B" w:rsidP="00BD0F62">
            <w:pPr>
              <w:pStyle w:val="CGCTableStub"/>
              <w:tabs>
                <w:tab w:val="left" w:pos="142"/>
                <w:tab w:val="left" w:pos="425"/>
                <w:tab w:val="left" w:pos="709"/>
                <w:tab w:val="left" w:pos="851"/>
              </w:tabs>
              <w:spacing w:before="0" w:after="0"/>
              <w:ind w:left="142" w:hanging="142"/>
              <w:rPr>
                <w:rFonts w:cstheme="minorHAnsi"/>
              </w:rPr>
            </w:pPr>
            <w:r w:rsidRPr="00F72194">
              <w:rPr>
                <w:rFonts w:cstheme="minorHAnsi"/>
              </w:rPr>
              <w:t>Stamp duty</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w:t>
            </w:r>
            <w:r>
              <w:rPr>
                <w:rFonts w:cstheme="minorHAnsi"/>
              </w:rPr>
              <w:t xml:space="preserve"> </w:t>
            </w:r>
            <w:r w:rsidRPr="00F72194">
              <w:rPr>
                <w:rFonts w:cstheme="minorHAnsi"/>
              </w:rPr>
              <w:t>097</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-229</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418</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715</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790</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248</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45</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109</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w:t>
            </w:r>
            <w:r>
              <w:rPr>
                <w:rFonts w:cstheme="minorHAnsi"/>
              </w:rPr>
              <w:t xml:space="preserve"> </w:t>
            </w:r>
            <w:r w:rsidRPr="00F72194">
              <w:rPr>
                <w:rFonts w:cstheme="minorHAnsi"/>
              </w:rPr>
              <w:t>326</w:t>
            </w:r>
          </w:p>
        </w:tc>
      </w:tr>
      <w:tr w:rsidR="0063459B" w:rsidRPr="00FE3F73" w:rsidTr="00FD3BED">
        <w:tc>
          <w:tcPr>
            <w:tcW w:w="1354" w:type="pct"/>
            <w:vAlign w:val="bottom"/>
          </w:tcPr>
          <w:p w:rsidR="0063459B" w:rsidRPr="00F72194" w:rsidRDefault="0063459B" w:rsidP="00BD0F62">
            <w:pPr>
              <w:pStyle w:val="CGCTableStub"/>
              <w:tabs>
                <w:tab w:val="left" w:pos="142"/>
                <w:tab w:val="left" w:pos="425"/>
                <w:tab w:val="left" w:pos="709"/>
                <w:tab w:val="left" w:pos="851"/>
              </w:tabs>
              <w:spacing w:before="0" w:after="0"/>
              <w:ind w:left="142" w:hanging="142"/>
              <w:rPr>
                <w:rFonts w:cstheme="minorHAnsi"/>
              </w:rPr>
            </w:pPr>
            <w:r w:rsidRPr="00F72194">
              <w:rPr>
                <w:rFonts w:cstheme="minorHAnsi"/>
              </w:rPr>
              <w:t>Insurance tax</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-126</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121</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16</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9</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-46</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23</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174</w:t>
            </w:r>
          </w:p>
        </w:tc>
      </w:tr>
      <w:tr w:rsidR="0063459B" w:rsidRPr="00FE3F73" w:rsidTr="00FD3BED">
        <w:tc>
          <w:tcPr>
            <w:tcW w:w="1354" w:type="pct"/>
            <w:vAlign w:val="bottom"/>
          </w:tcPr>
          <w:p w:rsidR="0063459B" w:rsidRPr="00F72194" w:rsidRDefault="0063459B" w:rsidP="00BD0F62">
            <w:pPr>
              <w:pStyle w:val="CGCTableStub"/>
              <w:tabs>
                <w:tab w:val="left" w:pos="142"/>
                <w:tab w:val="left" w:pos="425"/>
                <w:tab w:val="left" w:pos="709"/>
                <w:tab w:val="left" w:pos="851"/>
              </w:tabs>
              <w:spacing w:before="0" w:after="0"/>
              <w:ind w:left="142" w:hanging="142"/>
              <w:rPr>
                <w:rFonts w:cstheme="minorHAnsi"/>
              </w:rPr>
            </w:pPr>
            <w:r w:rsidRPr="00F72194">
              <w:rPr>
                <w:rFonts w:cstheme="minorHAnsi"/>
              </w:rPr>
              <w:t>Motor taxes</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275</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-10</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-76</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-161</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-31</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-28</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24</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8</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307</w:t>
            </w:r>
          </w:p>
        </w:tc>
      </w:tr>
      <w:tr w:rsidR="0063459B" w:rsidRPr="00FE3F73" w:rsidTr="00FD3BED">
        <w:tc>
          <w:tcPr>
            <w:tcW w:w="1354" w:type="pct"/>
            <w:vAlign w:val="bottom"/>
          </w:tcPr>
          <w:p w:rsidR="0063459B" w:rsidRPr="00F72194" w:rsidRDefault="0063459B" w:rsidP="00BD0F62">
            <w:pPr>
              <w:pStyle w:val="CGCTableStub"/>
              <w:tabs>
                <w:tab w:val="left" w:pos="142"/>
                <w:tab w:val="left" w:pos="425"/>
                <w:tab w:val="left" w:pos="709"/>
                <w:tab w:val="left" w:pos="851"/>
              </w:tabs>
              <w:spacing w:before="0" w:after="0"/>
              <w:ind w:left="142" w:hanging="142"/>
              <w:rPr>
                <w:rFonts w:cstheme="minorHAnsi"/>
              </w:rPr>
            </w:pPr>
            <w:r w:rsidRPr="00F72194">
              <w:rPr>
                <w:rFonts w:cstheme="minorHAnsi"/>
              </w:rPr>
              <w:t>Mining revenue</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w:t>
            </w:r>
            <w:r>
              <w:rPr>
                <w:rFonts w:cstheme="minorHAnsi"/>
              </w:rPr>
              <w:t xml:space="preserve"> </w:t>
            </w:r>
            <w:r w:rsidRPr="00F72194">
              <w:rPr>
                <w:rFonts w:cstheme="minorHAnsi"/>
              </w:rPr>
              <w:t>977</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w:t>
            </w:r>
            <w:r>
              <w:rPr>
                <w:rFonts w:cstheme="minorHAnsi"/>
              </w:rPr>
              <w:t xml:space="preserve"> </w:t>
            </w:r>
            <w:r w:rsidRPr="00F72194">
              <w:rPr>
                <w:rFonts w:cstheme="minorHAnsi"/>
              </w:rPr>
              <w:t>810</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-658</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w:t>
            </w:r>
            <w:r>
              <w:rPr>
                <w:rFonts w:cstheme="minorHAnsi"/>
              </w:rPr>
              <w:t xml:space="preserve"> </w:t>
            </w:r>
            <w:r w:rsidRPr="00F72194">
              <w:rPr>
                <w:rFonts w:cstheme="minorHAnsi"/>
              </w:rPr>
              <w:t>927</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486</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178</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188</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-54</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5</w:t>
            </w:r>
            <w:r>
              <w:rPr>
                <w:rFonts w:cstheme="minorHAnsi"/>
              </w:rPr>
              <w:t xml:space="preserve"> </w:t>
            </w:r>
            <w:r w:rsidRPr="00F72194">
              <w:rPr>
                <w:rFonts w:cstheme="minorHAnsi"/>
              </w:rPr>
              <w:t>639</w:t>
            </w:r>
          </w:p>
        </w:tc>
      </w:tr>
      <w:tr w:rsidR="0063459B" w:rsidRPr="00FE3F73" w:rsidTr="00FD3BED">
        <w:tc>
          <w:tcPr>
            <w:tcW w:w="1354" w:type="pct"/>
            <w:vAlign w:val="bottom"/>
          </w:tcPr>
          <w:p w:rsidR="0063459B" w:rsidRPr="00F72194" w:rsidRDefault="0063459B" w:rsidP="00BD0F62">
            <w:pPr>
              <w:pStyle w:val="CGCTableStub"/>
              <w:tabs>
                <w:tab w:val="left" w:pos="142"/>
                <w:tab w:val="left" w:pos="425"/>
                <w:tab w:val="left" w:pos="709"/>
                <w:tab w:val="left" w:pos="851"/>
              </w:tabs>
              <w:spacing w:before="0" w:after="0"/>
              <w:ind w:left="142" w:hanging="142"/>
              <w:rPr>
                <w:rFonts w:cstheme="minorHAnsi"/>
              </w:rPr>
            </w:pPr>
            <w:r w:rsidRPr="00F72194">
              <w:rPr>
                <w:rFonts w:cstheme="minorHAnsi"/>
              </w:rPr>
              <w:t>Other revenue</w:t>
            </w:r>
          </w:p>
        </w:tc>
        <w:tc>
          <w:tcPr>
            <w:tcW w:w="405" w:type="pct"/>
            <w:tcBorders>
              <w:bottom w:val="single" w:sz="4" w:space="0" w:color="auto"/>
            </w:tcBorders>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0</w:t>
            </w:r>
          </w:p>
        </w:tc>
        <w:tc>
          <w:tcPr>
            <w:tcW w:w="405" w:type="pct"/>
            <w:tcBorders>
              <w:bottom w:val="single" w:sz="4" w:space="0" w:color="auto"/>
            </w:tcBorders>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0</w:t>
            </w:r>
          </w:p>
        </w:tc>
        <w:tc>
          <w:tcPr>
            <w:tcW w:w="405" w:type="pct"/>
            <w:tcBorders>
              <w:bottom w:val="single" w:sz="4" w:space="0" w:color="auto"/>
            </w:tcBorders>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0</w:t>
            </w:r>
          </w:p>
        </w:tc>
        <w:tc>
          <w:tcPr>
            <w:tcW w:w="405" w:type="pct"/>
            <w:tcBorders>
              <w:bottom w:val="single" w:sz="4" w:space="0" w:color="auto"/>
            </w:tcBorders>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0</w:t>
            </w:r>
          </w:p>
        </w:tc>
        <w:tc>
          <w:tcPr>
            <w:tcW w:w="405" w:type="pct"/>
            <w:tcBorders>
              <w:bottom w:val="single" w:sz="4" w:space="0" w:color="auto"/>
            </w:tcBorders>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0</w:t>
            </w:r>
          </w:p>
        </w:tc>
        <w:tc>
          <w:tcPr>
            <w:tcW w:w="405" w:type="pct"/>
            <w:tcBorders>
              <w:bottom w:val="single" w:sz="4" w:space="0" w:color="auto"/>
            </w:tcBorders>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0</w:t>
            </w:r>
          </w:p>
        </w:tc>
        <w:tc>
          <w:tcPr>
            <w:tcW w:w="405" w:type="pct"/>
            <w:tcBorders>
              <w:bottom w:val="single" w:sz="4" w:space="0" w:color="auto"/>
            </w:tcBorders>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0</w:t>
            </w:r>
          </w:p>
        </w:tc>
        <w:tc>
          <w:tcPr>
            <w:tcW w:w="405" w:type="pct"/>
            <w:tcBorders>
              <w:bottom w:val="single" w:sz="4" w:space="0" w:color="auto"/>
            </w:tcBorders>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0</w:t>
            </w:r>
          </w:p>
        </w:tc>
        <w:tc>
          <w:tcPr>
            <w:tcW w:w="405" w:type="pct"/>
            <w:tcBorders>
              <w:bottom w:val="single" w:sz="4" w:space="0" w:color="auto"/>
            </w:tcBorders>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0</w:t>
            </w:r>
          </w:p>
        </w:tc>
      </w:tr>
      <w:tr w:rsidR="0063459B" w:rsidRPr="005063F9" w:rsidTr="00FD3BED">
        <w:tc>
          <w:tcPr>
            <w:tcW w:w="1354" w:type="pct"/>
            <w:vAlign w:val="bottom"/>
          </w:tcPr>
          <w:p w:rsidR="0063459B" w:rsidRPr="00F72194" w:rsidRDefault="0063459B" w:rsidP="00BD0F62">
            <w:pPr>
              <w:pStyle w:val="CGCTableStub"/>
              <w:tabs>
                <w:tab w:val="left" w:pos="142"/>
                <w:tab w:val="left" w:pos="425"/>
                <w:tab w:val="left" w:pos="709"/>
                <w:tab w:val="left" w:pos="851"/>
              </w:tabs>
              <w:spacing w:before="0" w:after="0"/>
              <w:ind w:left="142" w:hanging="142"/>
              <w:rPr>
                <w:rFonts w:cstheme="minorHAnsi"/>
                <w:b/>
              </w:rPr>
            </w:pPr>
            <w:r w:rsidRPr="00F72194">
              <w:rPr>
                <w:rFonts w:cstheme="minorHAnsi"/>
                <w:b/>
              </w:rPr>
              <w:t>Total revenue</w:t>
            </w:r>
          </w:p>
        </w:tc>
        <w:tc>
          <w:tcPr>
            <w:tcW w:w="405" w:type="pct"/>
            <w:tcBorders>
              <w:top w:val="single" w:sz="4" w:space="0" w:color="auto"/>
            </w:tcBorders>
            <w:vAlign w:val="bottom"/>
          </w:tcPr>
          <w:p w:rsidR="0063459B" w:rsidRPr="005063F9" w:rsidRDefault="0063459B" w:rsidP="00BD0F62">
            <w:pPr>
              <w:pStyle w:val="TableRowNormal"/>
              <w:spacing w:before="0" w:after="0"/>
              <w:ind w:left="0" w:firstLine="0"/>
              <w:rPr>
                <w:rFonts w:cstheme="minorHAnsi"/>
                <w:b/>
              </w:rPr>
            </w:pPr>
            <w:r w:rsidRPr="005063F9">
              <w:rPr>
                <w:rFonts w:cstheme="minorHAnsi"/>
                <w:b/>
              </w:rPr>
              <w:t>-956</w:t>
            </w:r>
          </w:p>
        </w:tc>
        <w:tc>
          <w:tcPr>
            <w:tcW w:w="405" w:type="pct"/>
            <w:tcBorders>
              <w:top w:val="single" w:sz="4" w:space="0" w:color="auto"/>
            </w:tcBorders>
            <w:vAlign w:val="bottom"/>
          </w:tcPr>
          <w:p w:rsidR="0063459B" w:rsidRPr="005063F9" w:rsidRDefault="0063459B" w:rsidP="00BD0F62">
            <w:pPr>
              <w:pStyle w:val="TableRowNormal"/>
              <w:spacing w:before="0" w:after="0"/>
              <w:ind w:left="0" w:firstLine="0"/>
              <w:rPr>
                <w:rFonts w:cstheme="minorHAnsi"/>
                <w:b/>
              </w:rPr>
            </w:pPr>
            <w:r w:rsidRPr="005063F9">
              <w:rPr>
                <w:rFonts w:cstheme="minorHAnsi"/>
                <w:b/>
              </w:rPr>
              <w:t>2 882</w:t>
            </w:r>
          </w:p>
        </w:tc>
        <w:tc>
          <w:tcPr>
            <w:tcW w:w="405" w:type="pct"/>
            <w:tcBorders>
              <w:top w:val="single" w:sz="4" w:space="0" w:color="auto"/>
            </w:tcBorders>
            <w:vAlign w:val="bottom"/>
          </w:tcPr>
          <w:p w:rsidR="0063459B" w:rsidRPr="005063F9" w:rsidRDefault="0063459B" w:rsidP="00BD0F62">
            <w:pPr>
              <w:pStyle w:val="TableRowNormal"/>
              <w:spacing w:before="0" w:after="0"/>
              <w:ind w:left="0" w:firstLine="0"/>
              <w:rPr>
                <w:rFonts w:cstheme="minorHAnsi"/>
                <w:b/>
              </w:rPr>
            </w:pPr>
            <w:r w:rsidRPr="005063F9">
              <w:rPr>
                <w:rFonts w:cstheme="minorHAnsi"/>
                <w:b/>
              </w:rPr>
              <w:t>583</w:t>
            </w:r>
          </w:p>
        </w:tc>
        <w:tc>
          <w:tcPr>
            <w:tcW w:w="405" w:type="pct"/>
            <w:tcBorders>
              <w:top w:val="single" w:sz="4" w:space="0" w:color="auto"/>
            </w:tcBorders>
            <w:vAlign w:val="bottom"/>
          </w:tcPr>
          <w:p w:rsidR="0063459B" w:rsidRPr="005063F9" w:rsidRDefault="0063459B" w:rsidP="00BD0F62">
            <w:pPr>
              <w:pStyle w:val="TableRowNormal"/>
              <w:spacing w:before="0" w:after="0"/>
              <w:ind w:left="0" w:firstLine="0"/>
              <w:rPr>
                <w:rFonts w:cstheme="minorHAnsi"/>
                <w:b/>
              </w:rPr>
            </w:pPr>
            <w:r w:rsidRPr="005063F9">
              <w:rPr>
                <w:rFonts w:cstheme="minorHAnsi"/>
                <w:b/>
              </w:rPr>
              <w:t>-5 531</w:t>
            </w:r>
          </w:p>
        </w:tc>
        <w:tc>
          <w:tcPr>
            <w:tcW w:w="405" w:type="pct"/>
            <w:tcBorders>
              <w:top w:val="single" w:sz="4" w:space="0" w:color="auto"/>
            </w:tcBorders>
            <w:vAlign w:val="bottom"/>
          </w:tcPr>
          <w:p w:rsidR="0063459B" w:rsidRPr="005063F9" w:rsidRDefault="0063459B" w:rsidP="00BD0F62">
            <w:pPr>
              <w:pStyle w:val="TableRowNormal"/>
              <w:spacing w:before="0" w:after="0"/>
              <w:ind w:left="0" w:firstLine="0"/>
              <w:rPr>
                <w:rFonts w:cstheme="minorHAnsi"/>
                <w:b/>
              </w:rPr>
            </w:pPr>
            <w:r w:rsidRPr="005063F9">
              <w:rPr>
                <w:rFonts w:cstheme="minorHAnsi"/>
                <w:b/>
              </w:rPr>
              <w:t>1 932</w:t>
            </w:r>
          </w:p>
        </w:tc>
        <w:tc>
          <w:tcPr>
            <w:tcW w:w="405" w:type="pct"/>
            <w:tcBorders>
              <w:top w:val="single" w:sz="4" w:space="0" w:color="auto"/>
            </w:tcBorders>
            <w:vAlign w:val="bottom"/>
          </w:tcPr>
          <w:p w:rsidR="0063459B" w:rsidRPr="005063F9" w:rsidRDefault="0063459B" w:rsidP="00BD0F62">
            <w:pPr>
              <w:pStyle w:val="TableRowNormal"/>
              <w:spacing w:before="0" w:after="0"/>
              <w:ind w:left="0" w:firstLine="0"/>
              <w:rPr>
                <w:rFonts w:cstheme="minorHAnsi"/>
                <w:b/>
              </w:rPr>
            </w:pPr>
            <w:r w:rsidRPr="005063F9">
              <w:rPr>
                <w:rFonts w:cstheme="minorHAnsi"/>
                <w:b/>
              </w:rPr>
              <w:t>717</w:t>
            </w:r>
          </w:p>
        </w:tc>
        <w:tc>
          <w:tcPr>
            <w:tcW w:w="405" w:type="pct"/>
            <w:tcBorders>
              <w:top w:val="single" w:sz="4" w:space="0" w:color="auto"/>
            </w:tcBorders>
            <w:vAlign w:val="bottom"/>
          </w:tcPr>
          <w:p w:rsidR="0063459B" w:rsidRPr="005063F9" w:rsidRDefault="0063459B" w:rsidP="00BD0F62">
            <w:pPr>
              <w:pStyle w:val="TableRowNormal"/>
              <w:spacing w:before="0" w:after="0"/>
              <w:ind w:left="0" w:firstLine="0"/>
              <w:rPr>
                <w:rFonts w:cstheme="minorHAnsi"/>
                <w:b/>
              </w:rPr>
            </w:pPr>
            <w:r w:rsidRPr="005063F9">
              <w:rPr>
                <w:rFonts w:cstheme="minorHAnsi"/>
                <w:b/>
              </w:rPr>
              <w:t>332</w:t>
            </w:r>
          </w:p>
        </w:tc>
        <w:tc>
          <w:tcPr>
            <w:tcW w:w="405" w:type="pct"/>
            <w:tcBorders>
              <w:top w:val="single" w:sz="4" w:space="0" w:color="auto"/>
            </w:tcBorders>
            <w:vAlign w:val="bottom"/>
          </w:tcPr>
          <w:p w:rsidR="0063459B" w:rsidRPr="005063F9" w:rsidRDefault="0063459B" w:rsidP="00BD0F62">
            <w:pPr>
              <w:pStyle w:val="TableRowNormal"/>
              <w:spacing w:before="0" w:after="0"/>
              <w:ind w:left="0" w:firstLine="0"/>
              <w:rPr>
                <w:rFonts w:cstheme="minorHAnsi"/>
                <w:b/>
              </w:rPr>
            </w:pPr>
            <w:r w:rsidRPr="005063F9">
              <w:rPr>
                <w:rFonts w:cstheme="minorHAnsi"/>
                <w:b/>
              </w:rPr>
              <w:t>40</w:t>
            </w:r>
          </w:p>
        </w:tc>
        <w:tc>
          <w:tcPr>
            <w:tcW w:w="405" w:type="pct"/>
            <w:tcBorders>
              <w:top w:val="single" w:sz="4" w:space="0" w:color="auto"/>
            </w:tcBorders>
            <w:vAlign w:val="bottom"/>
          </w:tcPr>
          <w:p w:rsidR="0063459B" w:rsidRPr="005063F9" w:rsidRDefault="0063459B" w:rsidP="00BD0F62">
            <w:pPr>
              <w:pStyle w:val="TableRowNormal"/>
              <w:spacing w:before="0" w:after="0"/>
              <w:ind w:left="0" w:firstLine="0"/>
              <w:rPr>
                <w:rFonts w:cstheme="minorHAnsi"/>
                <w:b/>
              </w:rPr>
            </w:pPr>
            <w:r w:rsidRPr="005063F9">
              <w:rPr>
                <w:rFonts w:cstheme="minorHAnsi"/>
                <w:b/>
              </w:rPr>
              <w:t>6 487</w:t>
            </w:r>
          </w:p>
        </w:tc>
      </w:tr>
      <w:tr w:rsidR="0063459B" w:rsidRPr="00FE3F73" w:rsidTr="00FD3BED">
        <w:tc>
          <w:tcPr>
            <w:tcW w:w="1354" w:type="pct"/>
            <w:vAlign w:val="bottom"/>
          </w:tcPr>
          <w:p w:rsidR="0063459B" w:rsidRPr="00F72194" w:rsidRDefault="0063459B" w:rsidP="00BD0F62">
            <w:pPr>
              <w:pStyle w:val="CGCTableStub"/>
              <w:tabs>
                <w:tab w:val="left" w:pos="142"/>
                <w:tab w:val="left" w:pos="425"/>
                <w:tab w:val="left" w:pos="709"/>
                <w:tab w:val="left" w:pos="851"/>
              </w:tabs>
              <w:spacing w:before="0" w:after="0"/>
              <w:ind w:left="142" w:hanging="142"/>
              <w:rPr>
                <w:rFonts w:cstheme="minorHAnsi"/>
              </w:rPr>
            </w:pPr>
            <w:r w:rsidRPr="00F72194">
              <w:rPr>
                <w:rFonts w:cstheme="minorHAnsi"/>
              </w:rPr>
              <w:t>School education</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-281</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w:t>
            </w:r>
            <w:r>
              <w:rPr>
                <w:rFonts w:cstheme="minorHAnsi"/>
              </w:rPr>
              <w:t xml:space="preserve"> </w:t>
            </w:r>
            <w:r w:rsidRPr="00F72194">
              <w:rPr>
                <w:rFonts w:cstheme="minorHAnsi"/>
              </w:rPr>
              <w:t>226</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715</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420</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13</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96</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-80</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342</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w:t>
            </w:r>
            <w:r>
              <w:rPr>
                <w:rFonts w:cstheme="minorHAnsi"/>
              </w:rPr>
              <w:t xml:space="preserve"> </w:t>
            </w:r>
            <w:r w:rsidRPr="00F72194">
              <w:rPr>
                <w:rFonts w:cstheme="minorHAnsi"/>
              </w:rPr>
              <w:t>586</w:t>
            </w:r>
          </w:p>
        </w:tc>
      </w:tr>
      <w:tr w:rsidR="0063459B" w:rsidRPr="00FE3F73" w:rsidTr="00FD3BED">
        <w:tc>
          <w:tcPr>
            <w:tcW w:w="1354" w:type="pct"/>
            <w:vAlign w:val="bottom"/>
          </w:tcPr>
          <w:p w:rsidR="0063459B" w:rsidRPr="00F72194" w:rsidRDefault="0063459B" w:rsidP="00BD0F62">
            <w:pPr>
              <w:pStyle w:val="CGCTableStub"/>
              <w:tabs>
                <w:tab w:val="left" w:pos="142"/>
                <w:tab w:val="left" w:pos="425"/>
                <w:tab w:val="left" w:pos="709"/>
                <w:tab w:val="left" w:pos="851"/>
              </w:tabs>
              <w:spacing w:before="0" w:after="0"/>
              <w:ind w:left="142" w:hanging="142"/>
              <w:rPr>
                <w:rFonts w:cstheme="minorHAnsi"/>
              </w:rPr>
            </w:pPr>
            <w:r w:rsidRPr="00F72194">
              <w:rPr>
                <w:rFonts w:cstheme="minorHAnsi"/>
              </w:rPr>
              <w:t>Post-secondary education</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-22</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-51</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19</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25</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0</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6</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22</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73</w:t>
            </w:r>
          </w:p>
        </w:tc>
      </w:tr>
      <w:tr w:rsidR="0063459B" w:rsidRPr="00FE3F73" w:rsidTr="00FD3BED">
        <w:tc>
          <w:tcPr>
            <w:tcW w:w="1354" w:type="pct"/>
            <w:vAlign w:val="bottom"/>
          </w:tcPr>
          <w:p w:rsidR="0063459B" w:rsidRPr="00F72194" w:rsidRDefault="0063459B" w:rsidP="00BD0F62">
            <w:pPr>
              <w:pStyle w:val="CGCTableStub"/>
              <w:tabs>
                <w:tab w:val="left" w:pos="142"/>
                <w:tab w:val="left" w:pos="425"/>
                <w:tab w:val="left" w:pos="709"/>
                <w:tab w:val="left" w:pos="851"/>
              </w:tabs>
              <w:spacing w:before="0" w:after="0"/>
              <w:ind w:left="142" w:hanging="142"/>
              <w:rPr>
                <w:rFonts w:cstheme="minorHAnsi"/>
              </w:rPr>
            </w:pPr>
            <w:r w:rsidRPr="00F72194">
              <w:rPr>
                <w:rFonts w:cstheme="minorHAnsi"/>
              </w:rPr>
              <w:t>Health</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-489</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-980</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167</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405</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251</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299</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-113</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460</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w:t>
            </w:r>
            <w:r>
              <w:rPr>
                <w:rFonts w:cstheme="minorHAnsi"/>
              </w:rPr>
              <w:t xml:space="preserve"> </w:t>
            </w:r>
            <w:r w:rsidRPr="00F72194">
              <w:rPr>
                <w:rFonts w:cstheme="minorHAnsi"/>
              </w:rPr>
              <w:t>583</w:t>
            </w:r>
          </w:p>
        </w:tc>
      </w:tr>
      <w:tr w:rsidR="0063459B" w:rsidRPr="00FE3F73" w:rsidTr="00FD3BED">
        <w:tc>
          <w:tcPr>
            <w:tcW w:w="1354" w:type="pct"/>
            <w:vAlign w:val="bottom"/>
          </w:tcPr>
          <w:p w:rsidR="0063459B" w:rsidRPr="00F72194" w:rsidRDefault="0063459B" w:rsidP="00BD0F62">
            <w:pPr>
              <w:pStyle w:val="CGCTableStub"/>
              <w:tabs>
                <w:tab w:val="left" w:pos="142"/>
                <w:tab w:val="left" w:pos="425"/>
                <w:tab w:val="left" w:pos="709"/>
                <w:tab w:val="left" w:pos="851"/>
              </w:tabs>
              <w:spacing w:before="0" w:after="0"/>
              <w:ind w:left="142" w:hanging="142"/>
              <w:rPr>
                <w:rFonts w:cstheme="minorHAnsi"/>
              </w:rPr>
            </w:pPr>
            <w:r w:rsidRPr="00F72194">
              <w:rPr>
                <w:rFonts w:cstheme="minorHAnsi"/>
              </w:rPr>
              <w:t>Housing</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-72</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-137</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39</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51</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27</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12</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-18</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97</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227</w:t>
            </w:r>
          </w:p>
        </w:tc>
      </w:tr>
      <w:tr w:rsidR="0063459B" w:rsidRPr="00FE3F73" w:rsidTr="00FD3BED">
        <w:tc>
          <w:tcPr>
            <w:tcW w:w="1354" w:type="pct"/>
            <w:vAlign w:val="bottom"/>
          </w:tcPr>
          <w:p w:rsidR="0063459B" w:rsidRPr="00F72194" w:rsidRDefault="0063459B" w:rsidP="00BD0F62">
            <w:pPr>
              <w:pStyle w:val="CGCTableStub"/>
              <w:tabs>
                <w:tab w:val="left" w:pos="142"/>
                <w:tab w:val="left" w:pos="425"/>
                <w:tab w:val="left" w:pos="709"/>
                <w:tab w:val="left" w:pos="851"/>
              </w:tabs>
              <w:spacing w:before="0" w:after="0"/>
              <w:ind w:left="142" w:hanging="142"/>
              <w:rPr>
                <w:rFonts w:cstheme="minorHAnsi"/>
              </w:rPr>
            </w:pPr>
            <w:r w:rsidRPr="00F72194">
              <w:rPr>
                <w:rFonts w:cstheme="minorHAnsi"/>
              </w:rPr>
              <w:t>Welfare</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5</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-607</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286</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-9</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48</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86</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-61</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253</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677</w:t>
            </w:r>
          </w:p>
        </w:tc>
      </w:tr>
      <w:tr w:rsidR="0063459B" w:rsidRPr="00FE3F73" w:rsidTr="00FD3BED">
        <w:tc>
          <w:tcPr>
            <w:tcW w:w="1354" w:type="pct"/>
            <w:vAlign w:val="bottom"/>
          </w:tcPr>
          <w:p w:rsidR="0063459B" w:rsidRPr="00F72194" w:rsidRDefault="0063459B" w:rsidP="00BD0F62">
            <w:pPr>
              <w:pStyle w:val="CGCTableStub"/>
              <w:tabs>
                <w:tab w:val="left" w:pos="142"/>
                <w:tab w:val="left" w:pos="425"/>
                <w:tab w:val="left" w:pos="709"/>
                <w:tab w:val="left" w:pos="851"/>
              </w:tabs>
              <w:spacing w:before="0" w:after="0"/>
              <w:ind w:left="142" w:hanging="142"/>
              <w:rPr>
                <w:rFonts w:cstheme="minorHAnsi"/>
              </w:rPr>
            </w:pPr>
            <w:r w:rsidRPr="00F72194">
              <w:rPr>
                <w:rFonts w:cstheme="minorHAnsi"/>
              </w:rPr>
              <w:t>Services to communities</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-391</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-379</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121</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203</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42</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12</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-24</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417</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795</w:t>
            </w:r>
          </w:p>
        </w:tc>
      </w:tr>
      <w:tr w:rsidR="0063459B" w:rsidRPr="00FE3F73" w:rsidTr="00FD3BED">
        <w:tc>
          <w:tcPr>
            <w:tcW w:w="1354" w:type="pct"/>
            <w:vAlign w:val="bottom"/>
          </w:tcPr>
          <w:p w:rsidR="0063459B" w:rsidRPr="00F72194" w:rsidRDefault="0063459B" w:rsidP="00BD0F62">
            <w:pPr>
              <w:pStyle w:val="CGCTableStub"/>
              <w:tabs>
                <w:tab w:val="left" w:pos="142"/>
                <w:tab w:val="left" w:pos="425"/>
                <w:tab w:val="left" w:pos="709"/>
                <w:tab w:val="left" w:pos="851"/>
              </w:tabs>
              <w:spacing w:before="0" w:after="0"/>
              <w:ind w:left="142" w:hanging="142"/>
              <w:rPr>
                <w:rFonts w:cstheme="minorHAnsi"/>
              </w:rPr>
            </w:pPr>
            <w:r w:rsidRPr="00F72194">
              <w:rPr>
                <w:rFonts w:cstheme="minorHAnsi"/>
              </w:rPr>
              <w:t>Justice</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-243</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-670</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258</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251</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-17</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19</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-47</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448</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976</w:t>
            </w:r>
          </w:p>
        </w:tc>
      </w:tr>
      <w:tr w:rsidR="0063459B" w:rsidRPr="00FE3F73" w:rsidTr="00FD3BED">
        <w:tc>
          <w:tcPr>
            <w:tcW w:w="1354" w:type="pct"/>
            <w:vAlign w:val="bottom"/>
          </w:tcPr>
          <w:p w:rsidR="0063459B" w:rsidRPr="00F72194" w:rsidRDefault="0063459B" w:rsidP="00BD0F62">
            <w:pPr>
              <w:pStyle w:val="CGCTableStub"/>
              <w:tabs>
                <w:tab w:val="left" w:pos="142"/>
                <w:tab w:val="left" w:pos="425"/>
                <w:tab w:val="left" w:pos="709"/>
                <w:tab w:val="left" w:pos="851"/>
              </w:tabs>
              <w:spacing w:before="0" w:after="0"/>
              <w:ind w:left="142" w:hanging="142"/>
              <w:rPr>
                <w:rFonts w:cstheme="minorHAnsi"/>
              </w:rPr>
            </w:pPr>
            <w:r w:rsidRPr="00F72194">
              <w:rPr>
                <w:rFonts w:cstheme="minorHAnsi"/>
              </w:rPr>
              <w:t>Roads</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-219</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-260</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130</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237</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71</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-12</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-46</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99</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537</w:t>
            </w:r>
          </w:p>
        </w:tc>
      </w:tr>
      <w:tr w:rsidR="0063459B" w:rsidRPr="00FE3F73" w:rsidTr="00FD3BED">
        <w:tc>
          <w:tcPr>
            <w:tcW w:w="1354" w:type="pct"/>
            <w:vAlign w:val="bottom"/>
          </w:tcPr>
          <w:p w:rsidR="0063459B" w:rsidRPr="00F72194" w:rsidRDefault="0063459B" w:rsidP="00BD0F62">
            <w:pPr>
              <w:pStyle w:val="CGCTableStub"/>
              <w:tabs>
                <w:tab w:val="left" w:pos="142"/>
                <w:tab w:val="left" w:pos="425"/>
                <w:tab w:val="left" w:pos="709"/>
                <w:tab w:val="left" w:pos="851"/>
              </w:tabs>
              <w:spacing w:before="0" w:after="0"/>
              <w:ind w:left="142" w:hanging="142"/>
              <w:rPr>
                <w:rFonts w:cstheme="minorHAnsi"/>
              </w:rPr>
            </w:pPr>
            <w:r w:rsidRPr="00F72194">
              <w:rPr>
                <w:rFonts w:cstheme="minorHAnsi"/>
              </w:rPr>
              <w:t xml:space="preserve">Transport </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307</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557</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-369</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23</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-157</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-198</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-70</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-95</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888</w:t>
            </w:r>
          </w:p>
        </w:tc>
      </w:tr>
      <w:tr w:rsidR="0063459B" w:rsidRPr="00FE3F73" w:rsidTr="00FD3BED">
        <w:tc>
          <w:tcPr>
            <w:tcW w:w="1354" w:type="pct"/>
            <w:vAlign w:val="bottom"/>
          </w:tcPr>
          <w:p w:rsidR="0063459B" w:rsidRPr="00F72194" w:rsidRDefault="0063459B" w:rsidP="00BD0F62">
            <w:pPr>
              <w:pStyle w:val="CGCTableStub"/>
              <w:tabs>
                <w:tab w:val="left" w:pos="142"/>
                <w:tab w:val="left" w:pos="425"/>
                <w:tab w:val="left" w:pos="709"/>
                <w:tab w:val="left" w:pos="851"/>
              </w:tabs>
              <w:spacing w:before="0" w:after="0"/>
              <w:ind w:left="142" w:hanging="142"/>
              <w:rPr>
                <w:rFonts w:cstheme="minorHAnsi"/>
              </w:rPr>
            </w:pPr>
            <w:r w:rsidRPr="00F72194">
              <w:rPr>
                <w:rFonts w:cstheme="minorHAnsi"/>
              </w:rPr>
              <w:t>Services to industry</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-119</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-88</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12</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151</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16</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10</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-15</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34</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223</w:t>
            </w:r>
          </w:p>
        </w:tc>
      </w:tr>
      <w:tr w:rsidR="0063459B" w:rsidRPr="00FE3F73" w:rsidTr="00FD3BED">
        <w:tc>
          <w:tcPr>
            <w:tcW w:w="1354" w:type="pct"/>
            <w:vAlign w:val="bottom"/>
          </w:tcPr>
          <w:p w:rsidR="0063459B" w:rsidRPr="00F72194" w:rsidRDefault="0063459B" w:rsidP="00BD0F62">
            <w:pPr>
              <w:pStyle w:val="CGCTableStub"/>
              <w:tabs>
                <w:tab w:val="left" w:pos="142"/>
                <w:tab w:val="left" w:pos="425"/>
                <w:tab w:val="left" w:pos="709"/>
                <w:tab w:val="left" w:pos="851"/>
              </w:tabs>
              <w:spacing w:before="0" w:after="0"/>
              <w:ind w:left="142" w:hanging="142"/>
              <w:rPr>
                <w:rFonts w:cstheme="minorHAnsi"/>
              </w:rPr>
            </w:pPr>
            <w:r w:rsidRPr="00F72194">
              <w:rPr>
                <w:rFonts w:cstheme="minorHAnsi"/>
              </w:rPr>
              <w:t>Other expenses</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-653</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-571</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123</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239</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84</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188</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310</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280</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w:t>
            </w:r>
            <w:r>
              <w:rPr>
                <w:rFonts w:cstheme="minorHAnsi"/>
              </w:rPr>
              <w:t xml:space="preserve"> </w:t>
            </w:r>
            <w:r w:rsidRPr="00F72194">
              <w:rPr>
                <w:rFonts w:cstheme="minorHAnsi"/>
              </w:rPr>
              <w:t>224</w:t>
            </w:r>
          </w:p>
        </w:tc>
      </w:tr>
      <w:tr w:rsidR="0063459B" w:rsidRPr="00FE3F73" w:rsidTr="00FD3BED">
        <w:tc>
          <w:tcPr>
            <w:tcW w:w="1354" w:type="pct"/>
            <w:vAlign w:val="bottom"/>
          </w:tcPr>
          <w:p w:rsidR="0063459B" w:rsidRPr="00F72194" w:rsidRDefault="0063459B" w:rsidP="00BD0F62">
            <w:pPr>
              <w:pStyle w:val="CGCTableStub"/>
              <w:tabs>
                <w:tab w:val="left" w:pos="142"/>
                <w:tab w:val="left" w:pos="425"/>
                <w:tab w:val="left" w:pos="709"/>
                <w:tab w:val="left" w:pos="851"/>
              </w:tabs>
              <w:spacing w:before="0" w:after="0"/>
              <w:ind w:left="142" w:hanging="142"/>
              <w:rPr>
                <w:rFonts w:cstheme="minorHAnsi"/>
              </w:rPr>
            </w:pPr>
            <w:r w:rsidRPr="00F72194">
              <w:rPr>
                <w:rFonts w:cstheme="minorHAnsi"/>
              </w:rPr>
              <w:t>Depreciation</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-252</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-559</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104</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327</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92</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23</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-36</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300</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847</w:t>
            </w:r>
          </w:p>
        </w:tc>
      </w:tr>
      <w:tr w:rsidR="0063459B" w:rsidRPr="00FE3F73" w:rsidTr="00FD3BED">
        <w:tc>
          <w:tcPr>
            <w:tcW w:w="1354" w:type="pct"/>
            <w:vAlign w:val="bottom"/>
          </w:tcPr>
          <w:p w:rsidR="0063459B" w:rsidRPr="00F72194" w:rsidRDefault="0063459B" w:rsidP="00BD0F62">
            <w:pPr>
              <w:pStyle w:val="CGCTableStub"/>
              <w:tabs>
                <w:tab w:val="left" w:pos="142"/>
                <w:tab w:val="left" w:pos="425"/>
                <w:tab w:val="left" w:pos="709"/>
                <w:tab w:val="left" w:pos="851"/>
              </w:tabs>
              <w:spacing w:before="0" w:after="0"/>
              <w:ind w:left="142" w:hanging="142"/>
              <w:rPr>
                <w:rFonts w:cstheme="minorHAnsi"/>
              </w:rPr>
            </w:pPr>
            <w:r w:rsidRPr="00F72194">
              <w:rPr>
                <w:rFonts w:cstheme="minorHAnsi"/>
              </w:rPr>
              <w:t>Investment</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333</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w:t>
            </w:r>
            <w:r>
              <w:rPr>
                <w:rFonts w:cstheme="minorHAnsi"/>
              </w:rPr>
              <w:t xml:space="preserve"> </w:t>
            </w:r>
            <w:r w:rsidRPr="00F72194">
              <w:rPr>
                <w:rFonts w:cstheme="minorHAnsi"/>
              </w:rPr>
              <w:t>254</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-426</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-485</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-332</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-159</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-20</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-165</w:t>
            </w:r>
          </w:p>
        </w:tc>
        <w:tc>
          <w:tcPr>
            <w:tcW w:w="405" w:type="pct"/>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w:t>
            </w:r>
            <w:r>
              <w:rPr>
                <w:rFonts w:cstheme="minorHAnsi"/>
              </w:rPr>
              <w:t xml:space="preserve"> </w:t>
            </w:r>
            <w:r w:rsidRPr="00F72194">
              <w:rPr>
                <w:rFonts w:cstheme="minorHAnsi"/>
              </w:rPr>
              <w:t>587</w:t>
            </w:r>
          </w:p>
        </w:tc>
      </w:tr>
      <w:tr w:rsidR="0063459B" w:rsidRPr="00FE3F73" w:rsidTr="00FD3BED">
        <w:tc>
          <w:tcPr>
            <w:tcW w:w="1354" w:type="pct"/>
            <w:vAlign w:val="bottom"/>
          </w:tcPr>
          <w:p w:rsidR="0063459B" w:rsidRPr="00F72194" w:rsidRDefault="0063459B" w:rsidP="00BD0F62">
            <w:pPr>
              <w:pStyle w:val="CGCTableStub"/>
              <w:tabs>
                <w:tab w:val="left" w:pos="142"/>
                <w:tab w:val="left" w:pos="425"/>
                <w:tab w:val="left" w:pos="709"/>
                <w:tab w:val="left" w:pos="851"/>
              </w:tabs>
              <w:spacing w:before="0" w:after="0"/>
              <w:ind w:left="142" w:hanging="142"/>
              <w:rPr>
                <w:rFonts w:cstheme="minorHAnsi"/>
              </w:rPr>
            </w:pPr>
            <w:r w:rsidRPr="00F72194">
              <w:rPr>
                <w:rFonts w:cstheme="minorHAnsi"/>
              </w:rPr>
              <w:t>Net borrowing</w:t>
            </w:r>
          </w:p>
        </w:tc>
        <w:tc>
          <w:tcPr>
            <w:tcW w:w="405" w:type="pct"/>
            <w:tcBorders>
              <w:bottom w:val="single" w:sz="4" w:space="0" w:color="auto"/>
            </w:tcBorders>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8</w:t>
            </w:r>
          </w:p>
        </w:tc>
        <w:tc>
          <w:tcPr>
            <w:tcW w:w="405" w:type="pct"/>
            <w:tcBorders>
              <w:bottom w:val="single" w:sz="4" w:space="0" w:color="auto"/>
            </w:tcBorders>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-182</w:t>
            </w:r>
          </w:p>
        </w:tc>
        <w:tc>
          <w:tcPr>
            <w:tcW w:w="405" w:type="pct"/>
            <w:tcBorders>
              <w:bottom w:val="single" w:sz="4" w:space="0" w:color="auto"/>
            </w:tcBorders>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27</w:t>
            </w:r>
          </w:p>
        </w:tc>
        <w:tc>
          <w:tcPr>
            <w:tcW w:w="405" w:type="pct"/>
            <w:tcBorders>
              <w:bottom w:val="single" w:sz="4" w:space="0" w:color="auto"/>
            </w:tcBorders>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70</w:t>
            </w:r>
          </w:p>
        </w:tc>
        <w:tc>
          <w:tcPr>
            <w:tcW w:w="405" w:type="pct"/>
            <w:tcBorders>
              <w:bottom w:val="single" w:sz="4" w:space="0" w:color="auto"/>
            </w:tcBorders>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47</w:t>
            </w:r>
          </w:p>
        </w:tc>
        <w:tc>
          <w:tcPr>
            <w:tcW w:w="405" w:type="pct"/>
            <w:tcBorders>
              <w:bottom w:val="single" w:sz="4" w:space="0" w:color="auto"/>
            </w:tcBorders>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22</w:t>
            </w:r>
          </w:p>
        </w:tc>
        <w:tc>
          <w:tcPr>
            <w:tcW w:w="405" w:type="pct"/>
            <w:tcBorders>
              <w:bottom w:val="single" w:sz="4" w:space="0" w:color="auto"/>
            </w:tcBorders>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-3</w:t>
            </w:r>
          </w:p>
        </w:tc>
        <w:tc>
          <w:tcPr>
            <w:tcW w:w="405" w:type="pct"/>
            <w:tcBorders>
              <w:bottom w:val="single" w:sz="4" w:space="0" w:color="auto"/>
            </w:tcBorders>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11</w:t>
            </w:r>
          </w:p>
        </w:tc>
        <w:tc>
          <w:tcPr>
            <w:tcW w:w="405" w:type="pct"/>
            <w:tcBorders>
              <w:bottom w:val="single" w:sz="4" w:space="0" w:color="auto"/>
            </w:tcBorders>
            <w:vAlign w:val="bottom"/>
          </w:tcPr>
          <w:p w:rsidR="0063459B" w:rsidRPr="00F72194" w:rsidRDefault="0063459B" w:rsidP="00BD0F62">
            <w:pPr>
              <w:pStyle w:val="TableRowNormal"/>
              <w:spacing w:before="0" w:after="0"/>
              <w:ind w:left="0" w:firstLine="0"/>
              <w:rPr>
                <w:rFonts w:cstheme="minorHAnsi"/>
              </w:rPr>
            </w:pPr>
            <w:r w:rsidRPr="00F72194">
              <w:rPr>
                <w:rFonts w:cstheme="minorHAnsi"/>
              </w:rPr>
              <w:t>185</w:t>
            </w:r>
          </w:p>
        </w:tc>
      </w:tr>
      <w:tr w:rsidR="00FB1DB0" w:rsidRPr="00FE3F73" w:rsidTr="00FD3BED">
        <w:tc>
          <w:tcPr>
            <w:tcW w:w="1354" w:type="pct"/>
            <w:vAlign w:val="bottom"/>
          </w:tcPr>
          <w:p w:rsidR="00FB1DB0" w:rsidRPr="00FB1DB0" w:rsidRDefault="00FB1DB0" w:rsidP="00FB1DB0">
            <w:pPr>
              <w:pStyle w:val="CGCTableStub"/>
              <w:tabs>
                <w:tab w:val="left" w:pos="142"/>
                <w:tab w:val="left" w:pos="425"/>
                <w:tab w:val="left" w:pos="709"/>
                <w:tab w:val="left" w:pos="851"/>
              </w:tabs>
              <w:spacing w:before="0" w:after="0"/>
              <w:ind w:left="142" w:hanging="142"/>
              <w:rPr>
                <w:rFonts w:cstheme="minorHAnsi"/>
              </w:rPr>
            </w:pPr>
            <w:r w:rsidRPr="00F72194">
              <w:rPr>
                <w:rFonts w:cstheme="minorHAnsi"/>
                <w:b/>
              </w:rPr>
              <w:t>Total expense</w:t>
            </w:r>
            <w:r>
              <w:rPr>
                <w:rFonts w:cstheme="minorHAnsi"/>
                <w:b/>
              </w:rPr>
              <w:t xml:space="preserve"> and investment (a)</w:t>
            </w:r>
          </w:p>
        </w:tc>
        <w:tc>
          <w:tcPr>
            <w:tcW w:w="405" w:type="pct"/>
            <w:tcBorders>
              <w:top w:val="single" w:sz="4" w:space="0" w:color="auto"/>
            </w:tcBorders>
            <w:vAlign w:val="bottom"/>
          </w:tcPr>
          <w:p w:rsidR="00FB1DB0" w:rsidRPr="00652401" w:rsidRDefault="00FB1DB0" w:rsidP="0008172A">
            <w:pPr>
              <w:pStyle w:val="TableRowNormal"/>
              <w:spacing w:before="0" w:after="0"/>
              <w:ind w:left="0" w:firstLine="0"/>
              <w:rPr>
                <w:rFonts w:cstheme="minorHAnsi"/>
              </w:rPr>
            </w:pPr>
            <w:r>
              <w:rPr>
                <w:rFonts w:cstheme="minorHAnsi"/>
              </w:rPr>
              <w:t>-2 088</w:t>
            </w:r>
          </w:p>
        </w:tc>
        <w:tc>
          <w:tcPr>
            <w:tcW w:w="405" w:type="pct"/>
            <w:tcBorders>
              <w:top w:val="single" w:sz="4" w:space="0" w:color="auto"/>
            </w:tcBorders>
            <w:vAlign w:val="bottom"/>
          </w:tcPr>
          <w:p w:rsidR="00FB1DB0" w:rsidRPr="00FB1DB0" w:rsidRDefault="00FB1DB0" w:rsidP="0008172A">
            <w:pPr>
              <w:pStyle w:val="TableRowNormal"/>
              <w:spacing w:before="0" w:after="0"/>
              <w:ind w:left="0" w:firstLine="0"/>
              <w:rPr>
                <w:rFonts w:cstheme="minorHAnsi"/>
              </w:rPr>
            </w:pPr>
            <w:r w:rsidRPr="00FB1DB0">
              <w:rPr>
                <w:rFonts w:cstheme="minorHAnsi"/>
              </w:rPr>
              <w:t>-3</w:t>
            </w:r>
            <w:r>
              <w:rPr>
                <w:rFonts w:cstheme="minorHAnsi"/>
              </w:rPr>
              <w:t xml:space="preserve"> </w:t>
            </w:r>
            <w:r w:rsidRPr="00FB1DB0">
              <w:rPr>
                <w:rFonts w:cstheme="minorHAnsi"/>
              </w:rPr>
              <w:t>900</w:t>
            </w:r>
          </w:p>
        </w:tc>
        <w:tc>
          <w:tcPr>
            <w:tcW w:w="405" w:type="pct"/>
            <w:tcBorders>
              <w:top w:val="single" w:sz="4" w:space="0" w:color="auto"/>
            </w:tcBorders>
            <w:vAlign w:val="bottom"/>
          </w:tcPr>
          <w:p w:rsidR="00FB1DB0" w:rsidRPr="00FB1DB0" w:rsidRDefault="00FB1DB0" w:rsidP="0008172A">
            <w:pPr>
              <w:pStyle w:val="TableRowNormal"/>
              <w:spacing w:before="0" w:after="0"/>
              <w:ind w:left="0" w:firstLine="0"/>
              <w:rPr>
                <w:rFonts w:cstheme="minorHAnsi"/>
              </w:rPr>
            </w:pPr>
            <w:r w:rsidRPr="00FB1DB0">
              <w:rPr>
                <w:rFonts w:cstheme="minorHAnsi"/>
              </w:rPr>
              <w:t>1</w:t>
            </w:r>
            <w:r>
              <w:rPr>
                <w:rFonts w:cstheme="minorHAnsi"/>
              </w:rPr>
              <w:t xml:space="preserve"> </w:t>
            </w:r>
            <w:r w:rsidRPr="00FB1DB0">
              <w:rPr>
                <w:rFonts w:cstheme="minorHAnsi"/>
              </w:rPr>
              <w:t>206</w:t>
            </w:r>
          </w:p>
        </w:tc>
        <w:tc>
          <w:tcPr>
            <w:tcW w:w="405" w:type="pct"/>
            <w:tcBorders>
              <w:top w:val="single" w:sz="4" w:space="0" w:color="auto"/>
            </w:tcBorders>
            <w:vAlign w:val="bottom"/>
          </w:tcPr>
          <w:p w:rsidR="00FB1DB0" w:rsidRPr="00FB1DB0" w:rsidRDefault="00FB1DB0" w:rsidP="0008172A">
            <w:pPr>
              <w:pStyle w:val="TableRowNormal"/>
              <w:spacing w:before="0" w:after="0"/>
              <w:ind w:left="0" w:firstLine="0"/>
              <w:rPr>
                <w:rFonts w:cstheme="minorHAnsi"/>
              </w:rPr>
            </w:pPr>
            <w:r w:rsidRPr="00FB1DB0">
              <w:rPr>
                <w:rFonts w:cstheme="minorHAnsi"/>
              </w:rPr>
              <w:t>1</w:t>
            </w:r>
            <w:r>
              <w:rPr>
                <w:rFonts w:cstheme="minorHAnsi"/>
              </w:rPr>
              <w:t xml:space="preserve"> </w:t>
            </w:r>
            <w:r w:rsidRPr="00FB1DB0">
              <w:rPr>
                <w:rFonts w:cstheme="minorHAnsi"/>
              </w:rPr>
              <w:t>908</w:t>
            </w:r>
          </w:p>
        </w:tc>
        <w:tc>
          <w:tcPr>
            <w:tcW w:w="405" w:type="pct"/>
            <w:tcBorders>
              <w:top w:val="single" w:sz="4" w:space="0" w:color="auto"/>
            </w:tcBorders>
            <w:vAlign w:val="bottom"/>
          </w:tcPr>
          <w:p w:rsidR="00FB1DB0" w:rsidRPr="00FB1DB0" w:rsidRDefault="00FB1DB0" w:rsidP="0008172A">
            <w:pPr>
              <w:pStyle w:val="TableRowNormal"/>
              <w:spacing w:before="0" w:after="0"/>
              <w:ind w:left="0" w:firstLine="0"/>
              <w:rPr>
                <w:rFonts w:cstheme="minorHAnsi"/>
              </w:rPr>
            </w:pPr>
            <w:r w:rsidRPr="00FB1DB0">
              <w:rPr>
                <w:rFonts w:cstheme="minorHAnsi"/>
              </w:rPr>
              <w:t>187</w:t>
            </w:r>
          </w:p>
        </w:tc>
        <w:tc>
          <w:tcPr>
            <w:tcW w:w="405" w:type="pct"/>
            <w:tcBorders>
              <w:top w:val="single" w:sz="4" w:space="0" w:color="auto"/>
            </w:tcBorders>
            <w:vAlign w:val="bottom"/>
          </w:tcPr>
          <w:p w:rsidR="00FB1DB0" w:rsidRPr="00FB1DB0" w:rsidRDefault="00FB1DB0" w:rsidP="0008172A">
            <w:pPr>
              <w:pStyle w:val="TableRowNormal"/>
              <w:spacing w:before="0" w:after="0"/>
              <w:ind w:left="0" w:firstLine="0"/>
              <w:rPr>
                <w:rFonts w:cstheme="minorHAnsi"/>
              </w:rPr>
            </w:pPr>
            <w:r w:rsidRPr="00FB1DB0">
              <w:rPr>
                <w:rFonts w:cstheme="minorHAnsi"/>
              </w:rPr>
              <w:t>400</w:t>
            </w:r>
          </w:p>
        </w:tc>
        <w:tc>
          <w:tcPr>
            <w:tcW w:w="405" w:type="pct"/>
            <w:tcBorders>
              <w:top w:val="single" w:sz="4" w:space="0" w:color="auto"/>
            </w:tcBorders>
            <w:vAlign w:val="bottom"/>
          </w:tcPr>
          <w:p w:rsidR="00FB1DB0" w:rsidRPr="00FB1DB0" w:rsidRDefault="00FB1DB0" w:rsidP="0008172A">
            <w:pPr>
              <w:pStyle w:val="TableRowNormal"/>
              <w:spacing w:before="0" w:after="0"/>
              <w:ind w:left="0" w:firstLine="0"/>
              <w:rPr>
                <w:rFonts w:cstheme="minorHAnsi"/>
              </w:rPr>
            </w:pPr>
            <w:r w:rsidRPr="00FB1DB0">
              <w:rPr>
                <w:rFonts w:cstheme="minorHAnsi"/>
              </w:rPr>
              <w:t>-216</w:t>
            </w:r>
          </w:p>
        </w:tc>
        <w:tc>
          <w:tcPr>
            <w:tcW w:w="405" w:type="pct"/>
            <w:tcBorders>
              <w:top w:val="single" w:sz="4" w:space="0" w:color="auto"/>
            </w:tcBorders>
            <w:vAlign w:val="bottom"/>
          </w:tcPr>
          <w:p w:rsidR="00FB1DB0" w:rsidRPr="00FB1DB0" w:rsidRDefault="00FB1DB0" w:rsidP="0008172A">
            <w:pPr>
              <w:pStyle w:val="TableRowNormal"/>
              <w:spacing w:before="0" w:after="0"/>
              <w:ind w:left="0" w:firstLine="0"/>
              <w:rPr>
                <w:rFonts w:cstheme="minorHAnsi"/>
              </w:rPr>
            </w:pPr>
            <w:r w:rsidRPr="00FB1DB0">
              <w:rPr>
                <w:rFonts w:cstheme="minorHAnsi"/>
              </w:rPr>
              <w:t>2</w:t>
            </w:r>
            <w:r>
              <w:rPr>
                <w:rFonts w:cstheme="minorHAnsi"/>
              </w:rPr>
              <w:t xml:space="preserve"> </w:t>
            </w:r>
            <w:r w:rsidRPr="00FB1DB0">
              <w:rPr>
                <w:rFonts w:cstheme="minorHAnsi"/>
              </w:rPr>
              <w:t>503</w:t>
            </w:r>
          </w:p>
        </w:tc>
        <w:tc>
          <w:tcPr>
            <w:tcW w:w="405" w:type="pct"/>
            <w:tcBorders>
              <w:top w:val="single" w:sz="4" w:space="0" w:color="auto"/>
            </w:tcBorders>
            <w:vAlign w:val="bottom"/>
          </w:tcPr>
          <w:p w:rsidR="00FB1DB0" w:rsidRPr="00FB1DB0" w:rsidRDefault="00FB1DB0" w:rsidP="0008172A">
            <w:pPr>
              <w:pStyle w:val="TableRowNormal"/>
              <w:spacing w:before="0" w:after="0"/>
              <w:ind w:left="0" w:firstLine="0"/>
              <w:rPr>
                <w:rFonts w:cstheme="minorHAnsi"/>
              </w:rPr>
            </w:pPr>
            <w:r w:rsidRPr="00FB1DB0">
              <w:rPr>
                <w:rFonts w:cstheme="minorHAnsi"/>
              </w:rPr>
              <w:t>6</w:t>
            </w:r>
            <w:r>
              <w:rPr>
                <w:rFonts w:cstheme="minorHAnsi"/>
              </w:rPr>
              <w:t xml:space="preserve"> </w:t>
            </w:r>
            <w:r w:rsidRPr="00FB1DB0">
              <w:rPr>
                <w:rFonts w:cstheme="minorHAnsi"/>
              </w:rPr>
              <w:t>204</w:t>
            </w:r>
          </w:p>
        </w:tc>
      </w:tr>
      <w:tr w:rsidR="00FB1DB0" w:rsidRPr="00FE3F73" w:rsidTr="00FD3BED">
        <w:tc>
          <w:tcPr>
            <w:tcW w:w="1354" w:type="pct"/>
            <w:vAlign w:val="bottom"/>
          </w:tcPr>
          <w:p w:rsidR="00FB1DB0" w:rsidRPr="00FB1DB0" w:rsidRDefault="00FB1DB0" w:rsidP="00BD0F62">
            <w:pPr>
              <w:pStyle w:val="CGCTableStub"/>
              <w:tabs>
                <w:tab w:val="left" w:pos="142"/>
                <w:tab w:val="left" w:pos="425"/>
                <w:tab w:val="left" w:pos="709"/>
                <w:tab w:val="left" w:pos="851"/>
              </w:tabs>
              <w:spacing w:before="0" w:after="0"/>
              <w:ind w:left="142" w:hanging="142"/>
              <w:rPr>
                <w:rFonts w:cstheme="minorHAnsi"/>
              </w:rPr>
            </w:pPr>
            <w:r w:rsidRPr="00FB1DB0">
              <w:rPr>
                <w:rFonts w:cstheme="minorHAnsi"/>
              </w:rPr>
              <w:t>Commonwealth payments</w:t>
            </w:r>
          </w:p>
        </w:tc>
        <w:tc>
          <w:tcPr>
            <w:tcW w:w="405" w:type="pct"/>
            <w:tcBorders>
              <w:bottom w:val="single" w:sz="4" w:space="0" w:color="auto"/>
            </w:tcBorders>
            <w:vAlign w:val="bottom"/>
          </w:tcPr>
          <w:p w:rsidR="00FB1DB0" w:rsidRPr="00652401" w:rsidRDefault="00FB1DB0" w:rsidP="0008172A">
            <w:pPr>
              <w:pStyle w:val="TableRowNormal"/>
              <w:spacing w:before="0" w:after="0"/>
              <w:ind w:left="0" w:firstLine="0"/>
              <w:rPr>
                <w:rFonts w:cstheme="minorHAnsi"/>
              </w:rPr>
            </w:pPr>
            <w:bookmarkStart w:id="37" w:name="RANGE!AD100:AL100"/>
            <w:r w:rsidRPr="00652401">
              <w:rPr>
                <w:rFonts w:cstheme="minorHAnsi"/>
              </w:rPr>
              <w:t>22</w:t>
            </w:r>
            <w:bookmarkEnd w:id="37"/>
          </w:p>
        </w:tc>
        <w:tc>
          <w:tcPr>
            <w:tcW w:w="405" w:type="pct"/>
            <w:tcBorders>
              <w:bottom w:val="single" w:sz="4" w:space="0" w:color="auto"/>
            </w:tcBorders>
            <w:vAlign w:val="bottom"/>
          </w:tcPr>
          <w:p w:rsidR="00FB1DB0" w:rsidRPr="00652401" w:rsidRDefault="00FB1DB0" w:rsidP="0008172A">
            <w:pPr>
              <w:pStyle w:val="TableRowNormal"/>
              <w:spacing w:before="0" w:after="0"/>
              <w:ind w:left="0" w:firstLine="0"/>
              <w:rPr>
                <w:rFonts w:cstheme="minorHAnsi"/>
              </w:rPr>
            </w:pPr>
            <w:r w:rsidRPr="00652401">
              <w:rPr>
                <w:rFonts w:cstheme="minorHAnsi"/>
              </w:rPr>
              <w:t>817</w:t>
            </w:r>
          </w:p>
        </w:tc>
        <w:tc>
          <w:tcPr>
            <w:tcW w:w="405" w:type="pct"/>
            <w:tcBorders>
              <w:bottom w:val="single" w:sz="4" w:space="0" w:color="auto"/>
            </w:tcBorders>
            <w:vAlign w:val="bottom"/>
          </w:tcPr>
          <w:p w:rsidR="00FB1DB0" w:rsidRPr="00652401" w:rsidRDefault="00FB1DB0" w:rsidP="0008172A">
            <w:pPr>
              <w:pStyle w:val="TableRowNormal"/>
              <w:spacing w:before="0" w:after="0"/>
              <w:ind w:left="0" w:firstLine="0"/>
              <w:rPr>
                <w:rFonts w:cstheme="minorHAnsi"/>
              </w:rPr>
            </w:pPr>
            <w:r w:rsidRPr="00652401">
              <w:rPr>
                <w:rFonts w:cstheme="minorHAnsi"/>
              </w:rPr>
              <w:t>-505</w:t>
            </w:r>
          </w:p>
        </w:tc>
        <w:tc>
          <w:tcPr>
            <w:tcW w:w="405" w:type="pct"/>
            <w:tcBorders>
              <w:bottom w:val="single" w:sz="4" w:space="0" w:color="auto"/>
            </w:tcBorders>
            <w:vAlign w:val="bottom"/>
          </w:tcPr>
          <w:p w:rsidR="00FB1DB0" w:rsidRPr="00652401" w:rsidRDefault="00FB1DB0" w:rsidP="0008172A">
            <w:pPr>
              <w:pStyle w:val="TableRowNormal"/>
              <w:spacing w:before="0" w:after="0"/>
              <w:ind w:left="0" w:firstLine="0"/>
              <w:rPr>
                <w:rFonts w:cstheme="minorHAnsi"/>
              </w:rPr>
            </w:pPr>
            <w:r w:rsidRPr="00652401">
              <w:rPr>
                <w:rFonts w:cstheme="minorHAnsi"/>
              </w:rPr>
              <w:t>5</w:t>
            </w:r>
          </w:p>
        </w:tc>
        <w:tc>
          <w:tcPr>
            <w:tcW w:w="405" w:type="pct"/>
            <w:tcBorders>
              <w:bottom w:val="single" w:sz="4" w:space="0" w:color="auto"/>
            </w:tcBorders>
            <w:vAlign w:val="bottom"/>
          </w:tcPr>
          <w:p w:rsidR="00FB1DB0" w:rsidRPr="00652401" w:rsidRDefault="00FB1DB0" w:rsidP="0008172A">
            <w:pPr>
              <w:pStyle w:val="TableRowNormal"/>
              <w:spacing w:before="0" w:after="0"/>
              <w:ind w:left="0" w:firstLine="0"/>
              <w:rPr>
                <w:rFonts w:cstheme="minorHAnsi"/>
              </w:rPr>
            </w:pPr>
            <w:r w:rsidRPr="00652401">
              <w:rPr>
                <w:rFonts w:cstheme="minorHAnsi"/>
              </w:rPr>
              <w:t>69</w:t>
            </w:r>
          </w:p>
        </w:tc>
        <w:tc>
          <w:tcPr>
            <w:tcW w:w="405" w:type="pct"/>
            <w:tcBorders>
              <w:bottom w:val="single" w:sz="4" w:space="0" w:color="auto"/>
            </w:tcBorders>
            <w:vAlign w:val="bottom"/>
          </w:tcPr>
          <w:p w:rsidR="00FB1DB0" w:rsidRPr="00652401" w:rsidRDefault="00FB1DB0" w:rsidP="0008172A">
            <w:pPr>
              <w:pStyle w:val="TableRowNormal"/>
              <w:spacing w:before="0" w:after="0"/>
              <w:ind w:left="0" w:firstLine="0"/>
              <w:rPr>
                <w:rFonts w:cstheme="minorHAnsi"/>
              </w:rPr>
            </w:pPr>
            <w:r w:rsidRPr="00652401">
              <w:rPr>
                <w:rFonts w:cstheme="minorHAnsi"/>
              </w:rPr>
              <w:t>-58</w:t>
            </w:r>
          </w:p>
        </w:tc>
        <w:tc>
          <w:tcPr>
            <w:tcW w:w="405" w:type="pct"/>
            <w:tcBorders>
              <w:bottom w:val="single" w:sz="4" w:space="0" w:color="auto"/>
            </w:tcBorders>
            <w:vAlign w:val="bottom"/>
          </w:tcPr>
          <w:p w:rsidR="00FB1DB0" w:rsidRPr="00652401" w:rsidRDefault="00FB1DB0" w:rsidP="0008172A">
            <w:pPr>
              <w:pStyle w:val="TableRowNormal"/>
              <w:spacing w:before="0" w:after="0"/>
              <w:ind w:left="0" w:firstLine="0"/>
              <w:rPr>
                <w:rFonts w:cstheme="minorHAnsi"/>
              </w:rPr>
            </w:pPr>
            <w:r w:rsidRPr="00652401">
              <w:rPr>
                <w:rFonts w:cstheme="minorHAnsi"/>
              </w:rPr>
              <w:t>85</w:t>
            </w:r>
          </w:p>
        </w:tc>
        <w:tc>
          <w:tcPr>
            <w:tcW w:w="405" w:type="pct"/>
            <w:tcBorders>
              <w:bottom w:val="single" w:sz="4" w:space="0" w:color="auto"/>
            </w:tcBorders>
            <w:vAlign w:val="bottom"/>
          </w:tcPr>
          <w:p w:rsidR="00FB1DB0" w:rsidRPr="00652401" w:rsidRDefault="00FB1DB0" w:rsidP="0008172A">
            <w:pPr>
              <w:pStyle w:val="TableRowNormal"/>
              <w:spacing w:before="0" w:after="0"/>
              <w:ind w:left="0" w:firstLine="0"/>
              <w:rPr>
                <w:rFonts w:cstheme="minorHAnsi"/>
              </w:rPr>
            </w:pPr>
            <w:r w:rsidRPr="00652401">
              <w:rPr>
                <w:rFonts w:cstheme="minorHAnsi"/>
              </w:rPr>
              <w:t>-434</w:t>
            </w:r>
          </w:p>
        </w:tc>
        <w:tc>
          <w:tcPr>
            <w:tcW w:w="405" w:type="pct"/>
            <w:tcBorders>
              <w:bottom w:val="single" w:sz="4" w:space="0" w:color="auto"/>
            </w:tcBorders>
            <w:vAlign w:val="bottom"/>
          </w:tcPr>
          <w:p w:rsidR="00FB1DB0" w:rsidRPr="00652401" w:rsidRDefault="00FB1DB0" w:rsidP="0008172A">
            <w:pPr>
              <w:pStyle w:val="TableRowNormal"/>
              <w:spacing w:before="0" w:after="0"/>
              <w:ind w:left="0" w:firstLine="0"/>
              <w:rPr>
                <w:rFonts w:cstheme="minorHAnsi"/>
              </w:rPr>
            </w:pPr>
            <w:r w:rsidRPr="00652401">
              <w:rPr>
                <w:rFonts w:cstheme="minorHAnsi"/>
              </w:rPr>
              <w:t>997</w:t>
            </w:r>
          </w:p>
        </w:tc>
      </w:tr>
      <w:tr w:rsidR="00FB1DB0" w:rsidRPr="00FE3F73" w:rsidTr="00FD3BED">
        <w:tc>
          <w:tcPr>
            <w:tcW w:w="1354" w:type="pct"/>
            <w:tcBorders>
              <w:bottom w:val="single" w:sz="4" w:space="0" w:color="auto"/>
            </w:tcBorders>
            <w:vAlign w:val="bottom"/>
          </w:tcPr>
          <w:p w:rsidR="00FB1DB0" w:rsidRPr="00F72194" w:rsidRDefault="00FB1DB0" w:rsidP="00BD0F62">
            <w:pPr>
              <w:pStyle w:val="CGCTableStub"/>
              <w:tabs>
                <w:tab w:val="left" w:pos="142"/>
                <w:tab w:val="left" w:pos="425"/>
                <w:tab w:val="left" w:pos="709"/>
                <w:tab w:val="left" w:pos="851"/>
              </w:tabs>
              <w:spacing w:before="0" w:after="0"/>
              <w:ind w:left="142" w:hanging="142"/>
              <w:rPr>
                <w:rFonts w:cstheme="minorHAnsi"/>
                <w:b/>
              </w:rPr>
            </w:pPr>
            <w:r w:rsidRPr="00F72194">
              <w:rPr>
                <w:rFonts w:cstheme="minorHAnsi"/>
                <w:b/>
              </w:rPr>
              <w:t>Total</w:t>
            </w:r>
          </w:p>
        </w:tc>
        <w:tc>
          <w:tcPr>
            <w:tcW w:w="405" w:type="pct"/>
            <w:tcBorders>
              <w:top w:val="single" w:sz="4" w:space="0" w:color="auto"/>
              <w:bottom w:val="single" w:sz="4" w:space="0" w:color="auto"/>
            </w:tcBorders>
            <w:vAlign w:val="bottom"/>
          </w:tcPr>
          <w:p w:rsidR="00FB1DB0" w:rsidRPr="00FB1DB0" w:rsidRDefault="00FB1DB0" w:rsidP="0008172A">
            <w:pPr>
              <w:pStyle w:val="TableRowNormal"/>
              <w:spacing w:before="0" w:after="0"/>
              <w:ind w:left="0" w:firstLine="0"/>
              <w:rPr>
                <w:rFonts w:cstheme="minorHAnsi"/>
                <w:b/>
              </w:rPr>
            </w:pPr>
            <w:r w:rsidRPr="00FB1DB0">
              <w:rPr>
                <w:rFonts w:cstheme="minorHAnsi"/>
                <w:b/>
              </w:rPr>
              <w:t>-3</w:t>
            </w:r>
            <w:r>
              <w:rPr>
                <w:rFonts w:cstheme="minorHAnsi"/>
                <w:b/>
              </w:rPr>
              <w:t xml:space="preserve"> </w:t>
            </w:r>
            <w:r w:rsidRPr="00FB1DB0">
              <w:rPr>
                <w:rFonts w:cstheme="minorHAnsi"/>
                <w:b/>
              </w:rPr>
              <w:t>021</w:t>
            </w:r>
          </w:p>
        </w:tc>
        <w:tc>
          <w:tcPr>
            <w:tcW w:w="405" w:type="pct"/>
            <w:tcBorders>
              <w:top w:val="single" w:sz="4" w:space="0" w:color="auto"/>
              <w:bottom w:val="single" w:sz="4" w:space="0" w:color="auto"/>
            </w:tcBorders>
            <w:vAlign w:val="bottom"/>
          </w:tcPr>
          <w:p w:rsidR="00FB1DB0" w:rsidRPr="00FB1DB0" w:rsidRDefault="00FB1DB0" w:rsidP="0008172A">
            <w:pPr>
              <w:pStyle w:val="TableRowNormal"/>
              <w:spacing w:before="0" w:after="0"/>
              <w:ind w:left="0" w:firstLine="0"/>
              <w:rPr>
                <w:rFonts w:cstheme="minorHAnsi"/>
                <w:b/>
              </w:rPr>
            </w:pPr>
            <w:r w:rsidRPr="00FB1DB0">
              <w:rPr>
                <w:rFonts w:cstheme="minorHAnsi"/>
                <w:b/>
              </w:rPr>
              <w:t>-201</w:t>
            </w:r>
          </w:p>
        </w:tc>
        <w:tc>
          <w:tcPr>
            <w:tcW w:w="405" w:type="pct"/>
            <w:tcBorders>
              <w:top w:val="single" w:sz="4" w:space="0" w:color="auto"/>
              <w:bottom w:val="single" w:sz="4" w:space="0" w:color="auto"/>
            </w:tcBorders>
            <w:vAlign w:val="bottom"/>
          </w:tcPr>
          <w:p w:rsidR="00FB1DB0" w:rsidRPr="00FB1DB0" w:rsidRDefault="00FB1DB0" w:rsidP="0008172A">
            <w:pPr>
              <w:pStyle w:val="TableRowNormal"/>
              <w:spacing w:before="0" w:after="0"/>
              <w:ind w:left="0" w:firstLine="0"/>
              <w:rPr>
                <w:rFonts w:cstheme="minorHAnsi"/>
                <w:b/>
              </w:rPr>
            </w:pPr>
            <w:r w:rsidRPr="00FB1DB0">
              <w:rPr>
                <w:rFonts w:cstheme="minorHAnsi"/>
                <w:b/>
              </w:rPr>
              <w:t>1</w:t>
            </w:r>
            <w:r>
              <w:rPr>
                <w:rFonts w:cstheme="minorHAnsi"/>
                <w:b/>
              </w:rPr>
              <w:t xml:space="preserve"> </w:t>
            </w:r>
            <w:r w:rsidRPr="00FB1DB0">
              <w:rPr>
                <w:rFonts w:cstheme="minorHAnsi"/>
                <w:b/>
              </w:rPr>
              <w:t>284</w:t>
            </w:r>
          </w:p>
        </w:tc>
        <w:tc>
          <w:tcPr>
            <w:tcW w:w="405" w:type="pct"/>
            <w:tcBorders>
              <w:top w:val="single" w:sz="4" w:space="0" w:color="auto"/>
              <w:bottom w:val="single" w:sz="4" w:space="0" w:color="auto"/>
            </w:tcBorders>
            <w:vAlign w:val="bottom"/>
          </w:tcPr>
          <w:p w:rsidR="00FB1DB0" w:rsidRPr="00FB1DB0" w:rsidRDefault="00FB1DB0" w:rsidP="0008172A">
            <w:pPr>
              <w:pStyle w:val="TableRowNormal"/>
              <w:spacing w:before="0" w:after="0"/>
              <w:ind w:left="0" w:firstLine="0"/>
              <w:rPr>
                <w:rFonts w:cstheme="minorHAnsi"/>
                <w:b/>
              </w:rPr>
            </w:pPr>
            <w:r w:rsidRPr="00FB1DB0">
              <w:rPr>
                <w:rFonts w:cstheme="minorHAnsi"/>
                <w:b/>
              </w:rPr>
              <w:t>-3</w:t>
            </w:r>
            <w:r w:rsidR="00FD3BED">
              <w:rPr>
                <w:rFonts w:cstheme="minorHAnsi"/>
                <w:b/>
              </w:rPr>
              <w:t xml:space="preserve"> </w:t>
            </w:r>
            <w:r w:rsidRPr="00FB1DB0">
              <w:rPr>
                <w:rFonts w:cstheme="minorHAnsi"/>
                <w:b/>
              </w:rPr>
              <w:t>618</w:t>
            </w:r>
          </w:p>
        </w:tc>
        <w:tc>
          <w:tcPr>
            <w:tcW w:w="405" w:type="pct"/>
            <w:tcBorders>
              <w:top w:val="single" w:sz="4" w:space="0" w:color="auto"/>
              <w:bottom w:val="single" w:sz="4" w:space="0" w:color="auto"/>
            </w:tcBorders>
            <w:vAlign w:val="bottom"/>
          </w:tcPr>
          <w:p w:rsidR="00FB1DB0" w:rsidRPr="00FB1DB0" w:rsidRDefault="00FB1DB0" w:rsidP="0008172A">
            <w:pPr>
              <w:pStyle w:val="TableRowNormal"/>
              <w:spacing w:before="0" w:after="0"/>
              <w:ind w:left="0" w:firstLine="0"/>
              <w:rPr>
                <w:rFonts w:cstheme="minorHAnsi"/>
                <w:b/>
              </w:rPr>
            </w:pPr>
            <w:r w:rsidRPr="00FB1DB0">
              <w:rPr>
                <w:rFonts w:cstheme="minorHAnsi"/>
                <w:b/>
              </w:rPr>
              <w:t>2</w:t>
            </w:r>
            <w:r w:rsidR="00FD3BED">
              <w:rPr>
                <w:rFonts w:cstheme="minorHAnsi"/>
                <w:b/>
              </w:rPr>
              <w:t xml:space="preserve"> </w:t>
            </w:r>
            <w:r w:rsidRPr="00FB1DB0">
              <w:rPr>
                <w:rFonts w:cstheme="minorHAnsi"/>
                <w:b/>
              </w:rPr>
              <w:t>188</w:t>
            </w:r>
          </w:p>
        </w:tc>
        <w:tc>
          <w:tcPr>
            <w:tcW w:w="405" w:type="pct"/>
            <w:tcBorders>
              <w:top w:val="single" w:sz="4" w:space="0" w:color="auto"/>
              <w:bottom w:val="single" w:sz="4" w:space="0" w:color="auto"/>
            </w:tcBorders>
            <w:vAlign w:val="bottom"/>
          </w:tcPr>
          <w:p w:rsidR="00FB1DB0" w:rsidRPr="00FB1DB0" w:rsidRDefault="00FB1DB0" w:rsidP="0008172A">
            <w:pPr>
              <w:pStyle w:val="TableRowNormal"/>
              <w:spacing w:before="0" w:after="0"/>
              <w:ind w:left="0" w:firstLine="0"/>
              <w:rPr>
                <w:rFonts w:cstheme="minorHAnsi"/>
                <w:b/>
              </w:rPr>
            </w:pPr>
            <w:r w:rsidRPr="00FB1DB0">
              <w:rPr>
                <w:rFonts w:cstheme="minorHAnsi"/>
                <w:b/>
              </w:rPr>
              <w:t>1</w:t>
            </w:r>
            <w:r w:rsidR="00FD3BED">
              <w:rPr>
                <w:rFonts w:cstheme="minorHAnsi"/>
                <w:b/>
              </w:rPr>
              <w:t xml:space="preserve"> </w:t>
            </w:r>
            <w:r w:rsidRPr="00FB1DB0">
              <w:rPr>
                <w:rFonts w:cstheme="minorHAnsi"/>
                <w:b/>
              </w:rPr>
              <w:t>059</w:t>
            </w:r>
          </w:p>
        </w:tc>
        <w:tc>
          <w:tcPr>
            <w:tcW w:w="405" w:type="pct"/>
            <w:tcBorders>
              <w:top w:val="single" w:sz="4" w:space="0" w:color="auto"/>
              <w:bottom w:val="single" w:sz="4" w:space="0" w:color="auto"/>
            </w:tcBorders>
            <w:vAlign w:val="bottom"/>
          </w:tcPr>
          <w:p w:rsidR="00FB1DB0" w:rsidRPr="00FB1DB0" w:rsidRDefault="00FB1DB0" w:rsidP="0008172A">
            <w:pPr>
              <w:pStyle w:val="TableRowNormal"/>
              <w:spacing w:before="0" w:after="0"/>
              <w:ind w:left="0" w:firstLine="0"/>
              <w:rPr>
                <w:rFonts w:cstheme="minorHAnsi"/>
                <w:b/>
              </w:rPr>
            </w:pPr>
            <w:r w:rsidRPr="00FB1DB0">
              <w:rPr>
                <w:rFonts w:cstheme="minorHAnsi"/>
                <w:b/>
              </w:rPr>
              <w:t>200</w:t>
            </w:r>
          </w:p>
        </w:tc>
        <w:tc>
          <w:tcPr>
            <w:tcW w:w="405" w:type="pct"/>
            <w:tcBorders>
              <w:top w:val="single" w:sz="4" w:space="0" w:color="auto"/>
              <w:bottom w:val="single" w:sz="4" w:space="0" w:color="auto"/>
            </w:tcBorders>
            <w:vAlign w:val="bottom"/>
          </w:tcPr>
          <w:p w:rsidR="00FB1DB0" w:rsidRPr="00FB1DB0" w:rsidRDefault="00FB1DB0" w:rsidP="0008172A">
            <w:pPr>
              <w:pStyle w:val="TableRowNormal"/>
              <w:spacing w:before="0" w:after="0"/>
              <w:ind w:left="0" w:firstLine="0"/>
              <w:rPr>
                <w:rFonts w:cstheme="minorHAnsi"/>
                <w:b/>
              </w:rPr>
            </w:pPr>
            <w:r w:rsidRPr="00FB1DB0">
              <w:rPr>
                <w:rFonts w:cstheme="minorHAnsi"/>
                <w:b/>
              </w:rPr>
              <w:t>2</w:t>
            </w:r>
            <w:r w:rsidR="00FD3BED">
              <w:rPr>
                <w:rFonts w:cstheme="minorHAnsi"/>
                <w:b/>
              </w:rPr>
              <w:t xml:space="preserve"> </w:t>
            </w:r>
            <w:r w:rsidRPr="00FB1DB0">
              <w:rPr>
                <w:rFonts w:cstheme="minorHAnsi"/>
                <w:b/>
              </w:rPr>
              <w:t>109</w:t>
            </w:r>
          </w:p>
        </w:tc>
        <w:tc>
          <w:tcPr>
            <w:tcW w:w="405" w:type="pct"/>
            <w:tcBorders>
              <w:top w:val="single" w:sz="4" w:space="0" w:color="auto"/>
              <w:bottom w:val="single" w:sz="4" w:space="0" w:color="auto"/>
            </w:tcBorders>
            <w:vAlign w:val="bottom"/>
          </w:tcPr>
          <w:p w:rsidR="00FB1DB0" w:rsidRPr="00FB1DB0" w:rsidRDefault="00FB1DB0" w:rsidP="0008172A">
            <w:pPr>
              <w:pStyle w:val="TableRowNormal"/>
              <w:spacing w:before="0" w:after="0"/>
              <w:ind w:left="0" w:firstLine="0"/>
              <w:rPr>
                <w:rFonts w:cstheme="minorHAnsi"/>
                <w:b/>
              </w:rPr>
            </w:pPr>
            <w:r w:rsidRPr="00FB1DB0">
              <w:rPr>
                <w:rFonts w:cstheme="minorHAnsi"/>
                <w:b/>
              </w:rPr>
              <w:t>6</w:t>
            </w:r>
            <w:r w:rsidR="00FD3BED">
              <w:rPr>
                <w:rFonts w:cstheme="minorHAnsi"/>
                <w:b/>
              </w:rPr>
              <w:t xml:space="preserve"> </w:t>
            </w:r>
            <w:r w:rsidRPr="00FB1DB0">
              <w:rPr>
                <w:rFonts w:cstheme="minorHAnsi"/>
                <w:b/>
              </w:rPr>
              <w:t>840</w:t>
            </w:r>
          </w:p>
        </w:tc>
      </w:tr>
    </w:tbl>
    <w:p w:rsidR="00FB1DB0" w:rsidRDefault="00FB1DB0" w:rsidP="0063459B">
      <w:pPr>
        <w:pStyle w:val="CGCTableFootnote"/>
      </w:pPr>
      <w:r>
        <w:t xml:space="preserve">(a)  </w:t>
      </w:r>
      <w:r>
        <w:tab/>
        <w:t>This includes the impact of net borrowing.</w:t>
      </w:r>
    </w:p>
    <w:p w:rsidR="0063459B" w:rsidRDefault="0063459B" w:rsidP="0063459B">
      <w:pPr>
        <w:pStyle w:val="CGCTableFootnote"/>
      </w:pPr>
      <w:r>
        <w:t>Source:</w:t>
      </w:r>
      <w:r>
        <w:tab/>
        <w:t xml:space="preserve">Commission calculation, 2018 </w:t>
      </w:r>
      <w:proofErr w:type="gramStart"/>
      <w:r>
        <w:t>Update</w:t>
      </w:r>
      <w:proofErr w:type="gramEnd"/>
      <w:r>
        <w:t>.</w:t>
      </w:r>
    </w:p>
    <w:p w:rsidR="00FB1DB0" w:rsidRDefault="00FB1DB0" w:rsidP="00FB1DB0">
      <w:pPr>
        <w:pStyle w:val="NoSpacing"/>
      </w:pPr>
    </w:p>
    <w:bookmarkEnd w:id="24"/>
    <w:bookmarkEnd w:id="25"/>
    <w:bookmarkEnd w:id="26"/>
    <w:bookmarkEnd w:id="27"/>
    <w:bookmarkEnd w:id="28"/>
    <w:bookmarkEnd w:id="29"/>
    <w:p w:rsidR="00FB1DB0" w:rsidRDefault="00FB1DB0" w:rsidP="00FB1DB0">
      <w:pPr>
        <w:pStyle w:val="NoSpacing"/>
      </w:pPr>
    </w:p>
    <w:sectPr w:rsidR="00FB1DB0" w:rsidSect="0004123E">
      <w:footerReference w:type="default" r:id="rId20"/>
      <w:footerReference w:type="first" r:id="rId21"/>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72A" w:rsidRDefault="0008172A">
      <w:r>
        <w:separator/>
      </w:r>
    </w:p>
  </w:endnote>
  <w:endnote w:type="continuationSeparator" w:id="0">
    <w:p w:rsidR="0008172A" w:rsidRDefault="0008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2A" w:rsidRPr="00875C0F" w:rsidRDefault="0008172A" w:rsidP="00BD0F6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759981329"/>
      <w:docPartObj>
        <w:docPartGallery w:val="Page Numbers (Bottom of Page)"/>
        <w:docPartUnique/>
      </w:docPartObj>
    </w:sdtPr>
    <w:sdtEndPr/>
    <w:sdtContent>
      <w:p w:rsidR="0008172A" w:rsidRDefault="0008172A" w:rsidP="00BD0F62">
        <w:pPr>
          <w:pStyle w:val="Footer"/>
          <w:jc w:val="right"/>
          <w:rPr>
            <w:b/>
          </w:rPr>
        </w:pPr>
        <w:r w:rsidRPr="00AE702F">
          <w:fldChar w:fldCharType="begin"/>
        </w:r>
        <w:r w:rsidRPr="00AE702F">
          <w:instrText xml:space="preserve"> PAGE  \* Arabic  \* MERGEFORMAT </w:instrText>
        </w:r>
        <w:r w:rsidRPr="00AE702F">
          <w:fldChar w:fldCharType="separate"/>
        </w:r>
        <w:r>
          <w:rPr>
            <w:noProof/>
          </w:rPr>
          <w:t>2</w:t>
        </w:r>
        <w:r w:rsidRPr="00AE702F">
          <w:fldChar w:fldCharType="end"/>
        </w:r>
      </w:p>
    </w:sdtContent>
  </w:sdt>
  <w:p w:rsidR="0008172A" w:rsidRDefault="0008172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2A" w:rsidRDefault="0008172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2A" w:rsidRPr="001E2A9C" w:rsidRDefault="0008172A" w:rsidP="00BD0F62">
    <w:pPr>
      <w:pStyle w:val="Footer"/>
      <w:jc w:val="right"/>
    </w:pPr>
    <w:r>
      <w:fldChar w:fldCharType="begin"/>
    </w:r>
    <w:r>
      <w:instrText xml:space="preserve"> PAGE   \* MERGEFORMAT </w:instrText>
    </w:r>
    <w:r>
      <w:fldChar w:fldCharType="separate"/>
    </w:r>
    <w:r w:rsidR="004A541C">
      <w:rPr>
        <w:noProof/>
      </w:rPr>
      <w:t>4</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2A" w:rsidRPr="00307CE3" w:rsidRDefault="0008172A" w:rsidP="00307CE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E3" w:rsidRPr="001E2A9C" w:rsidRDefault="00307CE3" w:rsidP="00BD0F62">
    <w:pPr>
      <w:pStyle w:val="Footer"/>
      <w:jc w:val="right"/>
    </w:pPr>
    <w:r>
      <w:fldChar w:fldCharType="begin"/>
    </w:r>
    <w:r>
      <w:instrText xml:space="preserve"> PAGE   \* MERGEFORMAT </w:instrText>
    </w:r>
    <w:r>
      <w:fldChar w:fldCharType="separate"/>
    </w:r>
    <w:r w:rsidR="004A541C">
      <w:rPr>
        <w:noProof/>
      </w:rPr>
      <w:t>1</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2A" w:rsidRPr="0011178C" w:rsidRDefault="0008172A" w:rsidP="003929D2">
    <w:pPr>
      <w:pStyle w:val="Footer"/>
      <w:jc w:val="right"/>
    </w:pPr>
    <w:r>
      <w:fldChar w:fldCharType="begin"/>
    </w:r>
    <w:r>
      <w:instrText xml:space="preserve"> PAGE  \* Arabic  \* MERGEFORMAT </w:instrText>
    </w:r>
    <w:r>
      <w:fldChar w:fldCharType="separate"/>
    </w:r>
    <w:r w:rsidR="004A541C">
      <w:rPr>
        <w:noProof/>
      </w:rPr>
      <w:t>7</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2A" w:rsidRPr="007E487F" w:rsidRDefault="0008172A" w:rsidP="00DC0F02">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4A541C">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72A" w:rsidRDefault="0008172A">
      <w:r>
        <w:separator/>
      </w:r>
    </w:p>
  </w:footnote>
  <w:footnote w:type="continuationSeparator" w:id="0">
    <w:p w:rsidR="0008172A" w:rsidRDefault="00081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77"/>
    <w:rsid w:val="00016FE0"/>
    <w:rsid w:val="00022EA9"/>
    <w:rsid w:val="00024745"/>
    <w:rsid w:val="00032F41"/>
    <w:rsid w:val="0004123E"/>
    <w:rsid w:val="00041748"/>
    <w:rsid w:val="00041E84"/>
    <w:rsid w:val="000424EA"/>
    <w:rsid w:val="00056373"/>
    <w:rsid w:val="00061111"/>
    <w:rsid w:val="000624BB"/>
    <w:rsid w:val="000648E8"/>
    <w:rsid w:val="0008172A"/>
    <w:rsid w:val="00083CF6"/>
    <w:rsid w:val="00093796"/>
    <w:rsid w:val="000A3898"/>
    <w:rsid w:val="000A52A1"/>
    <w:rsid w:val="000B2942"/>
    <w:rsid w:val="000B3557"/>
    <w:rsid w:val="000B64E3"/>
    <w:rsid w:val="000B7B6B"/>
    <w:rsid w:val="000D1354"/>
    <w:rsid w:val="000D7C54"/>
    <w:rsid w:val="000E0210"/>
    <w:rsid w:val="000E6AA5"/>
    <w:rsid w:val="000E7F56"/>
    <w:rsid w:val="000F1CDA"/>
    <w:rsid w:val="000F5E39"/>
    <w:rsid w:val="001039C2"/>
    <w:rsid w:val="001040AD"/>
    <w:rsid w:val="0011178C"/>
    <w:rsid w:val="00112CF0"/>
    <w:rsid w:val="001211AB"/>
    <w:rsid w:val="001218B8"/>
    <w:rsid w:val="00124ED1"/>
    <w:rsid w:val="001339B0"/>
    <w:rsid w:val="00136497"/>
    <w:rsid w:val="00141BD1"/>
    <w:rsid w:val="001441DA"/>
    <w:rsid w:val="00147115"/>
    <w:rsid w:val="001477CE"/>
    <w:rsid w:val="0015454D"/>
    <w:rsid w:val="0016723A"/>
    <w:rsid w:val="00170DC9"/>
    <w:rsid w:val="00171A05"/>
    <w:rsid w:val="00172F3A"/>
    <w:rsid w:val="001730FD"/>
    <w:rsid w:val="001735C7"/>
    <w:rsid w:val="00173798"/>
    <w:rsid w:val="00173BE6"/>
    <w:rsid w:val="00173E72"/>
    <w:rsid w:val="001807C0"/>
    <w:rsid w:val="001811DE"/>
    <w:rsid w:val="00187145"/>
    <w:rsid w:val="0018744F"/>
    <w:rsid w:val="001A3ECD"/>
    <w:rsid w:val="001A4336"/>
    <w:rsid w:val="001B0110"/>
    <w:rsid w:val="001B14B2"/>
    <w:rsid w:val="001B3048"/>
    <w:rsid w:val="001B696E"/>
    <w:rsid w:val="001B6A56"/>
    <w:rsid w:val="001C469B"/>
    <w:rsid w:val="001C6A71"/>
    <w:rsid w:val="001D638B"/>
    <w:rsid w:val="001D6DFA"/>
    <w:rsid w:val="001E6180"/>
    <w:rsid w:val="001E674B"/>
    <w:rsid w:val="001E68FC"/>
    <w:rsid w:val="001E719C"/>
    <w:rsid w:val="001E72B6"/>
    <w:rsid w:val="001F4F5A"/>
    <w:rsid w:val="0020053C"/>
    <w:rsid w:val="00204026"/>
    <w:rsid w:val="002116B1"/>
    <w:rsid w:val="00212948"/>
    <w:rsid w:val="00217839"/>
    <w:rsid w:val="00225A3B"/>
    <w:rsid w:val="0023081D"/>
    <w:rsid w:val="0023329C"/>
    <w:rsid w:val="00236DC0"/>
    <w:rsid w:val="002373A2"/>
    <w:rsid w:val="00240BE6"/>
    <w:rsid w:val="00242517"/>
    <w:rsid w:val="0024260B"/>
    <w:rsid w:val="0024401F"/>
    <w:rsid w:val="0024569B"/>
    <w:rsid w:val="00255B5A"/>
    <w:rsid w:val="002671A2"/>
    <w:rsid w:val="00267496"/>
    <w:rsid w:val="00275B68"/>
    <w:rsid w:val="002845EA"/>
    <w:rsid w:val="002857A3"/>
    <w:rsid w:val="00286EBE"/>
    <w:rsid w:val="00295B70"/>
    <w:rsid w:val="0029754F"/>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E0F67"/>
    <w:rsid w:val="002E25A8"/>
    <w:rsid w:val="002F04DE"/>
    <w:rsid w:val="002F1CD3"/>
    <w:rsid w:val="002F6733"/>
    <w:rsid w:val="002F6E28"/>
    <w:rsid w:val="002F7E68"/>
    <w:rsid w:val="00302E5E"/>
    <w:rsid w:val="00307CE3"/>
    <w:rsid w:val="00307DEF"/>
    <w:rsid w:val="00311D33"/>
    <w:rsid w:val="00313664"/>
    <w:rsid w:val="00314F90"/>
    <w:rsid w:val="0033102E"/>
    <w:rsid w:val="00331401"/>
    <w:rsid w:val="00333234"/>
    <w:rsid w:val="00335ED1"/>
    <w:rsid w:val="00337EF8"/>
    <w:rsid w:val="00342A60"/>
    <w:rsid w:val="0034379D"/>
    <w:rsid w:val="0034646D"/>
    <w:rsid w:val="00347BE5"/>
    <w:rsid w:val="003522E0"/>
    <w:rsid w:val="0035267F"/>
    <w:rsid w:val="0035580D"/>
    <w:rsid w:val="003617A6"/>
    <w:rsid w:val="003639FB"/>
    <w:rsid w:val="00363BF7"/>
    <w:rsid w:val="00382AE5"/>
    <w:rsid w:val="003929D2"/>
    <w:rsid w:val="00393E3E"/>
    <w:rsid w:val="00393FA5"/>
    <w:rsid w:val="003A27BB"/>
    <w:rsid w:val="003B4C77"/>
    <w:rsid w:val="003B673D"/>
    <w:rsid w:val="003C2577"/>
    <w:rsid w:val="003C4448"/>
    <w:rsid w:val="003C72E5"/>
    <w:rsid w:val="003D22D2"/>
    <w:rsid w:val="003D3D91"/>
    <w:rsid w:val="003D4708"/>
    <w:rsid w:val="003D477A"/>
    <w:rsid w:val="003E6615"/>
    <w:rsid w:val="003E79F9"/>
    <w:rsid w:val="003F12E9"/>
    <w:rsid w:val="003F59F4"/>
    <w:rsid w:val="00404DCD"/>
    <w:rsid w:val="004077D6"/>
    <w:rsid w:val="004121E7"/>
    <w:rsid w:val="00414E51"/>
    <w:rsid w:val="00420F04"/>
    <w:rsid w:val="00423099"/>
    <w:rsid w:val="00424E79"/>
    <w:rsid w:val="0042661C"/>
    <w:rsid w:val="004274B3"/>
    <w:rsid w:val="00443EC1"/>
    <w:rsid w:val="00453264"/>
    <w:rsid w:val="00462B54"/>
    <w:rsid w:val="00463064"/>
    <w:rsid w:val="00472461"/>
    <w:rsid w:val="004809B8"/>
    <w:rsid w:val="004821B9"/>
    <w:rsid w:val="00491D88"/>
    <w:rsid w:val="0049605C"/>
    <w:rsid w:val="004965F7"/>
    <w:rsid w:val="004A541C"/>
    <w:rsid w:val="004A7048"/>
    <w:rsid w:val="004B0A0A"/>
    <w:rsid w:val="004B1C4B"/>
    <w:rsid w:val="004B4516"/>
    <w:rsid w:val="004B60CB"/>
    <w:rsid w:val="004B76FE"/>
    <w:rsid w:val="004C1CB5"/>
    <w:rsid w:val="004D3FC9"/>
    <w:rsid w:val="004E769A"/>
    <w:rsid w:val="00500ACD"/>
    <w:rsid w:val="00504061"/>
    <w:rsid w:val="00505BAE"/>
    <w:rsid w:val="005063F9"/>
    <w:rsid w:val="00506956"/>
    <w:rsid w:val="0050743D"/>
    <w:rsid w:val="00515380"/>
    <w:rsid w:val="005176CA"/>
    <w:rsid w:val="00522C32"/>
    <w:rsid w:val="00532D10"/>
    <w:rsid w:val="00537A77"/>
    <w:rsid w:val="00541A14"/>
    <w:rsid w:val="00543F9C"/>
    <w:rsid w:val="00545024"/>
    <w:rsid w:val="00546D39"/>
    <w:rsid w:val="00550E84"/>
    <w:rsid w:val="00551368"/>
    <w:rsid w:val="005577B0"/>
    <w:rsid w:val="00562084"/>
    <w:rsid w:val="00570EED"/>
    <w:rsid w:val="005716FC"/>
    <w:rsid w:val="00575DEF"/>
    <w:rsid w:val="00583A33"/>
    <w:rsid w:val="00585D42"/>
    <w:rsid w:val="005867D2"/>
    <w:rsid w:val="00592B45"/>
    <w:rsid w:val="005963CC"/>
    <w:rsid w:val="00596E19"/>
    <w:rsid w:val="005A241E"/>
    <w:rsid w:val="005A6FED"/>
    <w:rsid w:val="005B1BC4"/>
    <w:rsid w:val="005B2525"/>
    <w:rsid w:val="005B6894"/>
    <w:rsid w:val="005B7121"/>
    <w:rsid w:val="005C13B2"/>
    <w:rsid w:val="005C27E3"/>
    <w:rsid w:val="005C37CB"/>
    <w:rsid w:val="005C459C"/>
    <w:rsid w:val="005D1A9F"/>
    <w:rsid w:val="005D52FA"/>
    <w:rsid w:val="005D7488"/>
    <w:rsid w:val="005D7FF9"/>
    <w:rsid w:val="005E266F"/>
    <w:rsid w:val="005E5734"/>
    <w:rsid w:val="005E73CE"/>
    <w:rsid w:val="005F07DC"/>
    <w:rsid w:val="005F38D9"/>
    <w:rsid w:val="005F3A8F"/>
    <w:rsid w:val="005F64FB"/>
    <w:rsid w:val="0060251E"/>
    <w:rsid w:val="00602DDE"/>
    <w:rsid w:val="00611737"/>
    <w:rsid w:val="00612904"/>
    <w:rsid w:val="00614DE8"/>
    <w:rsid w:val="00622388"/>
    <w:rsid w:val="006225B9"/>
    <w:rsid w:val="00622669"/>
    <w:rsid w:val="00622FE1"/>
    <w:rsid w:val="006253F4"/>
    <w:rsid w:val="00625CE5"/>
    <w:rsid w:val="0063459B"/>
    <w:rsid w:val="00635027"/>
    <w:rsid w:val="00644A7B"/>
    <w:rsid w:val="00652401"/>
    <w:rsid w:val="006556D9"/>
    <w:rsid w:val="00660B6A"/>
    <w:rsid w:val="00661C46"/>
    <w:rsid w:val="006652D3"/>
    <w:rsid w:val="0066787E"/>
    <w:rsid w:val="00667CF3"/>
    <w:rsid w:val="006769C4"/>
    <w:rsid w:val="00677627"/>
    <w:rsid w:val="00677BD5"/>
    <w:rsid w:val="0068025E"/>
    <w:rsid w:val="00693C87"/>
    <w:rsid w:val="0069652F"/>
    <w:rsid w:val="006A05C7"/>
    <w:rsid w:val="006A607B"/>
    <w:rsid w:val="006A6E27"/>
    <w:rsid w:val="006A72B0"/>
    <w:rsid w:val="006B37CD"/>
    <w:rsid w:val="006B3E4D"/>
    <w:rsid w:val="006C2658"/>
    <w:rsid w:val="006C52B9"/>
    <w:rsid w:val="006D0DA4"/>
    <w:rsid w:val="006D1DFE"/>
    <w:rsid w:val="006D2313"/>
    <w:rsid w:val="006E6BC2"/>
    <w:rsid w:val="006E77BB"/>
    <w:rsid w:val="006F7975"/>
    <w:rsid w:val="00700F69"/>
    <w:rsid w:val="0070150E"/>
    <w:rsid w:val="00705DB8"/>
    <w:rsid w:val="00713225"/>
    <w:rsid w:val="007177F2"/>
    <w:rsid w:val="0072512A"/>
    <w:rsid w:val="00731EE6"/>
    <w:rsid w:val="00732880"/>
    <w:rsid w:val="007355A6"/>
    <w:rsid w:val="00740A71"/>
    <w:rsid w:val="007477C5"/>
    <w:rsid w:val="00747938"/>
    <w:rsid w:val="007610F7"/>
    <w:rsid w:val="00762AFB"/>
    <w:rsid w:val="00765BA8"/>
    <w:rsid w:val="00766007"/>
    <w:rsid w:val="00770A26"/>
    <w:rsid w:val="00793948"/>
    <w:rsid w:val="007A1364"/>
    <w:rsid w:val="007A24A0"/>
    <w:rsid w:val="007A4AB2"/>
    <w:rsid w:val="007A5E68"/>
    <w:rsid w:val="007B1BF7"/>
    <w:rsid w:val="007C404B"/>
    <w:rsid w:val="007C4BAE"/>
    <w:rsid w:val="007C6F2E"/>
    <w:rsid w:val="007D1D3B"/>
    <w:rsid w:val="007D5960"/>
    <w:rsid w:val="007E0AC4"/>
    <w:rsid w:val="007E114E"/>
    <w:rsid w:val="007E487F"/>
    <w:rsid w:val="007E4B2D"/>
    <w:rsid w:val="007E587D"/>
    <w:rsid w:val="007E6757"/>
    <w:rsid w:val="007E71E9"/>
    <w:rsid w:val="007F1873"/>
    <w:rsid w:val="007F1D06"/>
    <w:rsid w:val="008010D7"/>
    <w:rsid w:val="00803443"/>
    <w:rsid w:val="0080680D"/>
    <w:rsid w:val="00812C05"/>
    <w:rsid w:val="0081322A"/>
    <w:rsid w:val="008162AB"/>
    <w:rsid w:val="00843E6F"/>
    <w:rsid w:val="00846E4A"/>
    <w:rsid w:val="00851AF5"/>
    <w:rsid w:val="00851FB5"/>
    <w:rsid w:val="00854DAA"/>
    <w:rsid w:val="008647DE"/>
    <w:rsid w:val="00864B95"/>
    <w:rsid w:val="008800D3"/>
    <w:rsid w:val="00886CDD"/>
    <w:rsid w:val="0089114B"/>
    <w:rsid w:val="0089214D"/>
    <w:rsid w:val="00893C0D"/>
    <w:rsid w:val="008A20DA"/>
    <w:rsid w:val="008B5C8F"/>
    <w:rsid w:val="008B5F16"/>
    <w:rsid w:val="008B7722"/>
    <w:rsid w:val="008C0E5C"/>
    <w:rsid w:val="008D348B"/>
    <w:rsid w:val="008D4E61"/>
    <w:rsid w:val="008E2BE4"/>
    <w:rsid w:val="008E355F"/>
    <w:rsid w:val="008E6B4E"/>
    <w:rsid w:val="008E7970"/>
    <w:rsid w:val="008E7C34"/>
    <w:rsid w:val="008F08C6"/>
    <w:rsid w:val="008F0C36"/>
    <w:rsid w:val="008F377B"/>
    <w:rsid w:val="00915512"/>
    <w:rsid w:val="009233CC"/>
    <w:rsid w:val="009240D8"/>
    <w:rsid w:val="0092523D"/>
    <w:rsid w:val="009360D7"/>
    <w:rsid w:val="009362C9"/>
    <w:rsid w:val="00942387"/>
    <w:rsid w:val="0094626F"/>
    <w:rsid w:val="009462D2"/>
    <w:rsid w:val="0096243A"/>
    <w:rsid w:val="009652D5"/>
    <w:rsid w:val="009677F8"/>
    <w:rsid w:val="00971146"/>
    <w:rsid w:val="00972A9A"/>
    <w:rsid w:val="00982FAE"/>
    <w:rsid w:val="00983ADF"/>
    <w:rsid w:val="00991675"/>
    <w:rsid w:val="00992008"/>
    <w:rsid w:val="00996409"/>
    <w:rsid w:val="00996D00"/>
    <w:rsid w:val="009A03DC"/>
    <w:rsid w:val="009A6CF3"/>
    <w:rsid w:val="009B329A"/>
    <w:rsid w:val="009B43BF"/>
    <w:rsid w:val="009B4A2D"/>
    <w:rsid w:val="009B5A07"/>
    <w:rsid w:val="009C0D30"/>
    <w:rsid w:val="009C1E0B"/>
    <w:rsid w:val="009D2C91"/>
    <w:rsid w:val="009D545A"/>
    <w:rsid w:val="009D6D44"/>
    <w:rsid w:val="009E22FA"/>
    <w:rsid w:val="009E4744"/>
    <w:rsid w:val="009E4EC9"/>
    <w:rsid w:val="009E5D5A"/>
    <w:rsid w:val="009F2262"/>
    <w:rsid w:val="009F32FA"/>
    <w:rsid w:val="009F4ADA"/>
    <w:rsid w:val="009F6A0D"/>
    <w:rsid w:val="00A07991"/>
    <w:rsid w:val="00A10CDE"/>
    <w:rsid w:val="00A1680D"/>
    <w:rsid w:val="00A23AB0"/>
    <w:rsid w:val="00A266C5"/>
    <w:rsid w:val="00A309C6"/>
    <w:rsid w:val="00A32E4E"/>
    <w:rsid w:val="00A36D05"/>
    <w:rsid w:val="00A505DE"/>
    <w:rsid w:val="00A5327C"/>
    <w:rsid w:val="00A5721C"/>
    <w:rsid w:val="00A67913"/>
    <w:rsid w:val="00A81A94"/>
    <w:rsid w:val="00A85D0F"/>
    <w:rsid w:val="00A9681E"/>
    <w:rsid w:val="00A96CD9"/>
    <w:rsid w:val="00AA007A"/>
    <w:rsid w:val="00AA35B4"/>
    <w:rsid w:val="00AB073E"/>
    <w:rsid w:val="00AB1A13"/>
    <w:rsid w:val="00AB4E9F"/>
    <w:rsid w:val="00AC210F"/>
    <w:rsid w:val="00AC319E"/>
    <w:rsid w:val="00AE3A1E"/>
    <w:rsid w:val="00AE734F"/>
    <w:rsid w:val="00AF2656"/>
    <w:rsid w:val="00AF5F21"/>
    <w:rsid w:val="00AF6110"/>
    <w:rsid w:val="00AF6AC6"/>
    <w:rsid w:val="00B00611"/>
    <w:rsid w:val="00B00CAD"/>
    <w:rsid w:val="00B04354"/>
    <w:rsid w:val="00B146BD"/>
    <w:rsid w:val="00B249FC"/>
    <w:rsid w:val="00B317E7"/>
    <w:rsid w:val="00B33A57"/>
    <w:rsid w:val="00B34083"/>
    <w:rsid w:val="00B37728"/>
    <w:rsid w:val="00B438A0"/>
    <w:rsid w:val="00B45C64"/>
    <w:rsid w:val="00B46A32"/>
    <w:rsid w:val="00B46B29"/>
    <w:rsid w:val="00B53547"/>
    <w:rsid w:val="00B53597"/>
    <w:rsid w:val="00B54D28"/>
    <w:rsid w:val="00B55D3E"/>
    <w:rsid w:val="00B62590"/>
    <w:rsid w:val="00B6729F"/>
    <w:rsid w:val="00B706E2"/>
    <w:rsid w:val="00B82627"/>
    <w:rsid w:val="00B90AA7"/>
    <w:rsid w:val="00B94335"/>
    <w:rsid w:val="00BA38F6"/>
    <w:rsid w:val="00BA65E5"/>
    <w:rsid w:val="00BB09DF"/>
    <w:rsid w:val="00BB3FC5"/>
    <w:rsid w:val="00BC2B3B"/>
    <w:rsid w:val="00BC4579"/>
    <w:rsid w:val="00BD0F62"/>
    <w:rsid w:val="00BD3D24"/>
    <w:rsid w:val="00BF7B7F"/>
    <w:rsid w:val="00C0018A"/>
    <w:rsid w:val="00C00905"/>
    <w:rsid w:val="00C035B5"/>
    <w:rsid w:val="00C04000"/>
    <w:rsid w:val="00C11ABD"/>
    <w:rsid w:val="00C14FB2"/>
    <w:rsid w:val="00C176AC"/>
    <w:rsid w:val="00C21EF9"/>
    <w:rsid w:val="00C222F7"/>
    <w:rsid w:val="00C24839"/>
    <w:rsid w:val="00C27C23"/>
    <w:rsid w:val="00C30429"/>
    <w:rsid w:val="00C41C84"/>
    <w:rsid w:val="00C554D4"/>
    <w:rsid w:val="00C57F50"/>
    <w:rsid w:val="00C61B02"/>
    <w:rsid w:val="00C61F1C"/>
    <w:rsid w:val="00C633E4"/>
    <w:rsid w:val="00C719A2"/>
    <w:rsid w:val="00C72165"/>
    <w:rsid w:val="00C83041"/>
    <w:rsid w:val="00C90B42"/>
    <w:rsid w:val="00C9475D"/>
    <w:rsid w:val="00C95056"/>
    <w:rsid w:val="00C951FD"/>
    <w:rsid w:val="00CA7F28"/>
    <w:rsid w:val="00CB0768"/>
    <w:rsid w:val="00CB131F"/>
    <w:rsid w:val="00CB40A9"/>
    <w:rsid w:val="00CB4DCD"/>
    <w:rsid w:val="00CB4F2D"/>
    <w:rsid w:val="00CC1690"/>
    <w:rsid w:val="00CC665A"/>
    <w:rsid w:val="00CE04A0"/>
    <w:rsid w:val="00CE34DC"/>
    <w:rsid w:val="00D07FB4"/>
    <w:rsid w:val="00D21FA8"/>
    <w:rsid w:val="00D236B7"/>
    <w:rsid w:val="00D23E48"/>
    <w:rsid w:val="00D244BE"/>
    <w:rsid w:val="00D42D3C"/>
    <w:rsid w:val="00D43096"/>
    <w:rsid w:val="00D46AB2"/>
    <w:rsid w:val="00D47815"/>
    <w:rsid w:val="00D54E74"/>
    <w:rsid w:val="00D656EB"/>
    <w:rsid w:val="00D771FD"/>
    <w:rsid w:val="00D7796D"/>
    <w:rsid w:val="00D81B18"/>
    <w:rsid w:val="00D83541"/>
    <w:rsid w:val="00D93A16"/>
    <w:rsid w:val="00D9496D"/>
    <w:rsid w:val="00DA0768"/>
    <w:rsid w:val="00DA161A"/>
    <w:rsid w:val="00DA5A94"/>
    <w:rsid w:val="00DB2355"/>
    <w:rsid w:val="00DB3BB4"/>
    <w:rsid w:val="00DC0F02"/>
    <w:rsid w:val="00DC0F8D"/>
    <w:rsid w:val="00DC2284"/>
    <w:rsid w:val="00DC2ADB"/>
    <w:rsid w:val="00DC2F8C"/>
    <w:rsid w:val="00DC3CA4"/>
    <w:rsid w:val="00DE1C0E"/>
    <w:rsid w:val="00DE4578"/>
    <w:rsid w:val="00DF04EE"/>
    <w:rsid w:val="00DF3E35"/>
    <w:rsid w:val="00E03ED5"/>
    <w:rsid w:val="00E06243"/>
    <w:rsid w:val="00E06C8C"/>
    <w:rsid w:val="00E07169"/>
    <w:rsid w:val="00E162A4"/>
    <w:rsid w:val="00E1688C"/>
    <w:rsid w:val="00E22665"/>
    <w:rsid w:val="00E30499"/>
    <w:rsid w:val="00E30B51"/>
    <w:rsid w:val="00E324BB"/>
    <w:rsid w:val="00E35B4E"/>
    <w:rsid w:val="00E377E8"/>
    <w:rsid w:val="00E43464"/>
    <w:rsid w:val="00E47A69"/>
    <w:rsid w:val="00E571BB"/>
    <w:rsid w:val="00E74435"/>
    <w:rsid w:val="00E758AD"/>
    <w:rsid w:val="00E77D4E"/>
    <w:rsid w:val="00E81E20"/>
    <w:rsid w:val="00E91860"/>
    <w:rsid w:val="00E954B7"/>
    <w:rsid w:val="00E96FDB"/>
    <w:rsid w:val="00EA107B"/>
    <w:rsid w:val="00EB4A21"/>
    <w:rsid w:val="00EB6D31"/>
    <w:rsid w:val="00EC06CC"/>
    <w:rsid w:val="00EC16F1"/>
    <w:rsid w:val="00ED05D6"/>
    <w:rsid w:val="00ED0C6F"/>
    <w:rsid w:val="00ED2FCC"/>
    <w:rsid w:val="00EE02A6"/>
    <w:rsid w:val="00EE2ECD"/>
    <w:rsid w:val="00EE5F75"/>
    <w:rsid w:val="00EF2722"/>
    <w:rsid w:val="00EF6805"/>
    <w:rsid w:val="00F00508"/>
    <w:rsid w:val="00F01E52"/>
    <w:rsid w:val="00F042DC"/>
    <w:rsid w:val="00F04309"/>
    <w:rsid w:val="00F07099"/>
    <w:rsid w:val="00F105EA"/>
    <w:rsid w:val="00F11117"/>
    <w:rsid w:val="00F12541"/>
    <w:rsid w:val="00F22035"/>
    <w:rsid w:val="00F22D18"/>
    <w:rsid w:val="00F36C87"/>
    <w:rsid w:val="00F46927"/>
    <w:rsid w:val="00F55854"/>
    <w:rsid w:val="00F56813"/>
    <w:rsid w:val="00F70110"/>
    <w:rsid w:val="00F711DA"/>
    <w:rsid w:val="00F72C93"/>
    <w:rsid w:val="00F80A88"/>
    <w:rsid w:val="00F823F5"/>
    <w:rsid w:val="00F851BE"/>
    <w:rsid w:val="00F9170D"/>
    <w:rsid w:val="00F94368"/>
    <w:rsid w:val="00F9494C"/>
    <w:rsid w:val="00FA15C8"/>
    <w:rsid w:val="00FA2D86"/>
    <w:rsid w:val="00FA348C"/>
    <w:rsid w:val="00FB0AD8"/>
    <w:rsid w:val="00FB1DB0"/>
    <w:rsid w:val="00FB1E1B"/>
    <w:rsid w:val="00FB4DBB"/>
    <w:rsid w:val="00FC1AAC"/>
    <w:rsid w:val="00FD3BED"/>
    <w:rsid w:val="00FE181C"/>
    <w:rsid w:val="00FE2C17"/>
    <w:rsid w:val="00FF072F"/>
    <w:rsid w:val="00FF17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footnote text" w:qFormat="1"/>
    <w:lsdException w:name="header" w:uiPriority="99"/>
    <w:lsdException w:name="footer" w:uiPriority="99"/>
    <w:lsdException w:name="caption" w:uiPriority="35"/>
    <w:lsdException w:name="Default Paragraph Font" w:uiPriority="1"/>
    <w:lsdException w:name="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uiPriority w:val="35"/>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link w:val="CGCSubbulletlistChar"/>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DE1C0E"/>
    <w:pPr>
      <w:tabs>
        <w:tab w:val="clear" w:pos="567"/>
        <w:tab w:val="right" w:pos="8942"/>
      </w:tabs>
      <w:spacing w:after="0"/>
      <w:ind w:left="284"/>
    </w:pPr>
    <w:rPr>
      <w:szCs w:val="20"/>
    </w:rPr>
  </w:style>
  <w:style w:type="paragraph" w:styleId="TOC3">
    <w:name w:val="toc 3"/>
    <w:basedOn w:val="Normal"/>
    <w:next w:val="Normal"/>
    <w:uiPriority w:val="39"/>
    <w:rsid w:val="00DE1C0E"/>
    <w:pPr>
      <w:tabs>
        <w:tab w:val="clear" w:pos="567"/>
        <w:tab w:val="right" w:pos="8942"/>
      </w:tabs>
      <w:spacing w:after="0"/>
      <w:ind w:left="567"/>
    </w:pPr>
    <w:rPr>
      <w:iC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8F08C6"/>
    <w:rPr>
      <w:sz w:val="24"/>
      <w:szCs w:val="20"/>
    </w:rPr>
  </w:style>
  <w:style w:type="character" w:customStyle="1" w:styleId="CGCParaNoChar">
    <w:name w:val="CGC Para No Char"/>
    <w:aliases w:val="CGC Numbered Para Char"/>
    <w:basedOn w:val="DefaultParagraphFont"/>
    <w:link w:val="CGCNumberedPara"/>
    <w:rsid w:val="00AF5F21"/>
    <w:rPr>
      <w:sz w:val="24"/>
      <w:szCs w:val="24"/>
    </w:rPr>
  </w:style>
  <w:style w:type="character" w:customStyle="1" w:styleId="CGCTableHeadingChar">
    <w:name w:val="CGC Table Heading Char"/>
    <w:basedOn w:val="DefaultParagraphFont"/>
    <w:link w:val="CGCTableHeading"/>
    <w:rsid w:val="00AF5F21"/>
    <w:rPr>
      <w:b/>
      <w:sz w:val="24"/>
      <w:szCs w:val="20"/>
    </w:rPr>
  </w:style>
  <w:style w:type="character" w:customStyle="1" w:styleId="CGCBulletlistChar">
    <w:name w:val="CGC Bullet list Char"/>
    <w:aliases w:val="CGC List 1 Char,CGC Bullet list Char1"/>
    <w:basedOn w:val="DefaultParagraphFont"/>
    <w:locked/>
    <w:rsid w:val="00AF5F21"/>
    <w:rPr>
      <w:sz w:val="24"/>
      <w:szCs w:val="20"/>
    </w:rPr>
  </w:style>
  <w:style w:type="character" w:customStyle="1" w:styleId="CGCSubbulletlistChar">
    <w:name w:val="CGC Sub bullet list Char"/>
    <w:aliases w:val="CGC List 2 Char"/>
    <w:basedOn w:val="DefaultParagraphFont"/>
    <w:link w:val="CGCSubbulletlist"/>
    <w:locked/>
    <w:rsid w:val="00AF5F21"/>
    <w:rPr>
      <w:sz w:val="24"/>
      <w:szCs w:val="20"/>
    </w:rPr>
  </w:style>
  <w:style w:type="character" w:customStyle="1" w:styleId="CGCTableFootnoteChar">
    <w:name w:val="CGC Table Footnote Char"/>
    <w:basedOn w:val="DefaultParagraphFont"/>
    <w:link w:val="CGCTableFootnote"/>
    <w:rsid w:val="0063459B"/>
    <w:rPr>
      <w:sz w:val="20"/>
      <w:szCs w:val="24"/>
    </w:rPr>
  </w:style>
  <w:style w:type="character" w:customStyle="1" w:styleId="CGCTableStubChar">
    <w:name w:val="CGC Table Stub Char"/>
    <w:basedOn w:val="DefaultParagraphFont"/>
    <w:link w:val="CGCTableStub"/>
    <w:rsid w:val="0063459B"/>
    <w:rPr>
      <w:sz w:val="20"/>
      <w:szCs w:val="20"/>
    </w:rPr>
  </w:style>
  <w:style w:type="character" w:customStyle="1" w:styleId="TableRowNormalChar">
    <w:name w:val="TableRowNormal Char"/>
    <w:basedOn w:val="DefaultParagraphFont"/>
    <w:link w:val="TableRowNormal"/>
    <w:locked/>
    <w:rsid w:val="0063459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footnote text" w:qFormat="1"/>
    <w:lsdException w:name="header" w:uiPriority="99"/>
    <w:lsdException w:name="footer" w:uiPriority="99"/>
    <w:lsdException w:name="caption" w:uiPriority="35"/>
    <w:lsdException w:name="Default Paragraph Font" w:uiPriority="1"/>
    <w:lsdException w:name="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uiPriority w:val="35"/>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link w:val="CGCSubbulletlistChar"/>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DE1C0E"/>
    <w:pPr>
      <w:tabs>
        <w:tab w:val="clear" w:pos="567"/>
        <w:tab w:val="right" w:pos="8942"/>
      </w:tabs>
      <w:spacing w:after="0"/>
      <w:ind w:left="284"/>
    </w:pPr>
    <w:rPr>
      <w:szCs w:val="20"/>
    </w:rPr>
  </w:style>
  <w:style w:type="paragraph" w:styleId="TOC3">
    <w:name w:val="toc 3"/>
    <w:basedOn w:val="Normal"/>
    <w:next w:val="Normal"/>
    <w:uiPriority w:val="39"/>
    <w:rsid w:val="00DE1C0E"/>
    <w:pPr>
      <w:tabs>
        <w:tab w:val="clear" w:pos="567"/>
        <w:tab w:val="right" w:pos="8942"/>
      </w:tabs>
      <w:spacing w:after="0"/>
      <w:ind w:left="567"/>
    </w:pPr>
    <w:rPr>
      <w:iC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8F08C6"/>
    <w:rPr>
      <w:sz w:val="24"/>
      <w:szCs w:val="20"/>
    </w:rPr>
  </w:style>
  <w:style w:type="character" w:customStyle="1" w:styleId="CGCParaNoChar">
    <w:name w:val="CGC Para No Char"/>
    <w:aliases w:val="CGC Numbered Para Char"/>
    <w:basedOn w:val="DefaultParagraphFont"/>
    <w:link w:val="CGCNumberedPara"/>
    <w:rsid w:val="00AF5F21"/>
    <w:rPr>
      <w:sz w:val="24"/>
      <w:szCs w:val="24"/>
    </w:rPr>
  </w:style>
  <w:style w:type="character" w:customStyle="1" w:styleId="CGCTableHeadingChar">
    <w:name w:val="CGC Table Heading Char"/>
    <w:basedOn w:val="DefaultParagraphFont"/>
    <w:link w:val="CGCTableHeading"/>
    <w:rsid w:val="00AF5F21"/>
    <w:rPr>
      <w:b/>
      <w:sz w:val="24"/>
      <w:szCs w:val="20"/>
    </w:rPr>
  </w:style>
  <w:style w:type="character" w:customStyle="1" w:styleId="CGCBulletlistChar">
    <w:name w:val="CGC Bullet list Char"/>
    <w:aliases w:val="CGC List 1 Char,CGC Bullet list Char1"/>
    <w:basedOn w:val="DefaultParagraphFont"/>
    <w:locked/>
    <w:rsid w:val="00AF5F21"/>
    <w:rPr>
      <w:sz w:val="24"/>
      <w:szCs w:val="20"/>
    </w:rPr>
  </w:style>
  <w:style w:type="character" w:customStyle="1" w:styleId="CGCSubbulletlistChar">
    <w:name w:val="CGC Sub bullet list Char"/>
    <w:aliases w:val="CGC List 2 Char"/>
    <w:basedOn w:val="DefaultParagraphFont"/>
    <w:link w:val="CGCSubbulletlist"/>
    <w:locked/>
    <w:rsid w:val="00AF5F21"/>
    <w:rPr>
      <w:sz w:val="24"/>
      <w:szCs w:val="20"/>
    </w:rPr>
  </w:style>
  <w:style w:type="character" w:customStyle="1" w:styleId="CGCTableFootnoteChar">
    <w:name w:val="CGC Table Footnote Char"/>
    <w:basedOn w:val="DefaultParagraphFont"/>
    <w:link w:val="CGCTableFootnote"/>
    <w:rsid w:val="0063459B"/>
    <w:rPr>
      <w:sz w:val="20"/>
      <w:szCs w:val="24"/>
    </w:rPr>
  </w:style>
  <w:style w:type="character" w:customStyle="1" w:styleId="CGCTableStubChar">
    <w:name w:val="CGC Table Stub Char"/>
    <w:basedOn w:val="DefaultParagraphFont"/>
    <w:link w:val="CGCTableStub"/>
    <w:rsid w:val="0063459B"/>
    <w:rPr>
      <w:sz w:val="20"/>
      <w:szCs w:val="20"/>
    </w:rPr>
  </w:style>
  <w:style w:type="character" w:customStyle="1" w:styleId="TableRowNormalChar">
    <w:name w:val="TableRowNormal Char"/>
    <w:basedOn w:val="DefaultParagraphFont"/>
    <w:link w:val="TableRowNormal"/>
    <w:locked/>
    <w:rsid w:val="006345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50993487">
      <w:bodyDiv w:val="1"/>
      <w:marLeft w:val="0"/>
      <w:marRight w:val="0"/>
      <w:marTop w:val="0"/>
      <w:marBottom w:val="0"/>
      <w:divBdr>
        <w:top w:val="none" w:sz="0" w:space="0" w:color="auto"/>
        <w:left w:val="none" w:sz="0" w:space="0" w:color="auto"/>
        <w:bottom w:val="none" w:sz="0" w:space="0" w:color="auto"/>
        <w:right w:val="none" w:sz="0" w:space="0" w:color="auto"/>
      </w:divBdr>
    </w:div>
    <w:div w:id="598218260">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8449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creativecommons.org/licenses/by/3.0"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mailto:secretary@cgc.gov.au"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3305</Words>
  <Characters>18675</Characters>
  <Application>Microsoft Office Word</Application>
  <DocSecurity>0</DocSecurity>
  <Lines>155</Lines>
  <Paragraphs>43</Paragraphs>
  <ScaleCrop>false</ScaleCrop>
  <Company/>
  <LinksUpToDate>false</LinksUpToDate>
  <CharactersWithSpaces>21937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2018-04-19T05:15:00Z</dcterms:created>
  <dcterms:modified xsi:type="dcterms:W3CDTF">2018-04-19T22:39:00Z</dcterms:modified>
</cp:coreProperties>
</file>