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4C1" w:rsidRPr="00970E6D" w:rsidRDefault="00B604C1" w:rsidP="00B604C1">
      <w:pPr>
        <w:tabs>
          <w:tab w:val="clear" w:pos="567"/>
        </w:tabs>
        <w:jc w:val="center"/>
        <w:rPr>
          <w:b/>
          <w:bCs/>
        </w:rPr>
      </w:pPr>
      <w:r w:rsidRPr="00970E6D">
        <w:rPr>
          <w:noProof/>
          <w:lang w:eastAsia="en-AU"/>
        </w:rPr>
        <w:drawing>
          <wp:inline distT="0" distB="0" distL="0" distR="0" wp14:anchorId="0F0BABE1" wp14:editId="4DCD9F1E">
            <wp:extent cx="2933700" cy="1524600"/>
            <wp:effectExtent l="19050" t="0" r="0" b="0"/>
            <wp:docPr id="1" name="Picture 1" descr="Commonwealth Gran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_stackedstrip"/>
                    <pic:cNvPicPr>
                      <a:picLocks noChangeAspect="1" noChangeArrowheads="1"/>
                    </pic:cNvPicPr>
                  </pic:nvPicPr>
                  <pic:blipFill>
                    <a:blip r:embed="rId9" cstate="print"/>
                    <a:srcRect/>
                    <a:stretch>
                      <a:fillRect/>
                    </a:stretch>
                  </pic:blipFill>
                  <pic:spPr bwMode="auto">
                    <a:xfrm>
                      <a:off x="0" y="0"/>
                      <a:ext cx="2933700" cy="1524600"/>
                    </a:xfrm>
                    <a:prstGeom prst="rect">
                      <a:avLst/>
                    </a:prstGeom>
                    <a:noFill/>
                    <a:ln w="9525">
                      <a:noFill/>
                      <a:miter lim="800000"/>
                      <a:headEnd/>
                      <a:tailEnd/>
                    </a:ln>
                  </pic:spPr>
                </pic:pic>
              </a:graphicData>
            </a:graphic>
          </wp:inline>
        </w:drawing>
      </w:r>
    </w:p>
    <w:p w:rsidR="00B604C1" w:rsidRPr="00970E6D" w:rsidRDefault="00B604C1" w:rsidP="00B604C1">
      <w:pPr>
        <w:tabs>
          <w:tab w:val="clear" w:pos="567"/>
        </w:tabs>
        <w:jc w:val="center"/>
        <w:rPr>
          <w:b/>
          <w:sz w:val="40"/>
          <w:szCs w:val="40"/>
        </w:rPr>
      </w:pPr>
    </w:p>
    <w:p w:rsidR="00B604C1" w:rsidRPr="00970E6D" w:rsidRDefault="00B604C1" w:rsidP="00B604C1">
      <w:pPr>
        <w:tabs>
          <w:tab w:val="clear" w:pos="567"/>
        </w:tabs>
        <w:jc w:val="center"/>
        <w:rPr>
          <w:b/>
          <w:sz w:val="40"/>
          <w:szCs w:val="40"/>
        </w:rPr>
      </w:pPr>
    </w:p>
    <w:p w:rsidR="00B604C1" w:rsidRPr="00970E6D" w:rsidRDefault="00B604C1" w:rsidP="00B604C1">
      <w:pPr>
        <w:tabs>
          <w:tab w:val="clear" w:pos="567"/>
        </w:tabs>
        <w:jc w:val="center"/>
        <w:rPr>
          <w:b/>
          <w:sz w:val="40"/>
          <w:szCs w:val="40"/>
        </w:rPr>
      </w:pPr>
      <w:r w:rsidRPr="00970E6D">
        <w:rPr>
          <w:b/>
          <w:sz w:val="40"/>
          <w:szCs w:val="40"/>
        </w:rPr>
        <w:t>2015 REVIEW</w:t>
      </w:r>
    </w:p>
    <w:p w:rsidR="00B604C1" w:rsidRPr="00970E6D" w:rsidRDefault="00B604C1" w:rsidP="00B604C1">
      <w:pPr>
        <w:tabs>
          <w:tab w:val="clear" w:pos="567"/>
        </w:tabs>
        <w:jc w:val="center"/>
        <w:rPr>
          <w:b/>
          <w:sz w:val="40"/>
          <w:szCs w:val="40"/>
        </w:rPr>
      </w:pPr>
    </w:p>
    <w:p w:rsidR="00B604C1" w:rsidRPr="00970E6D" w:rsidRDefault="00B604C1" w:rsidP="00B604C1">
      <w:pPr>
        <w:tabs>
          <w:tab w:val="clear" w:pos="567"/>
        </w:tabs>
        <w:jc w:val="center"/>
        <w:rPr>
          <w:b/>
          <w:sz w:val="40"/>
          <w:szCs w:val="40"/>
        </w:rPr>
      </w:pPr>
    </w:p>
    <w:p w:rsidR="00B604C1" w:rsidRPr="00970E6D" w:rsidRDefault="00B604C1" w:rsidP="00B604C1">
      <w:pPr>
        <w:tabs>
          <w:tab w:val="clear" w:pos="567"/>
        </w:tabs>
        <w:jc w:val="center"/>
        <w:rPr>
          <w:b/>
          <w:sz w:val="40"/>
          <w:szCs w:val="40"/>
        </w:rPr>
      </w:pPr>
    </w:p>
    <w:p w:rsidR="00B604C1" w:rsidRPr="00970E6D" w:rsidRDefault="00B604C1" w:rsidP="00B604C1">
      <w:pPr>
        <w:tabs>
          <w:tab w:val="clear" w:pos="567"/>
        </w:tabs>
        <w:jc w:val="center"/>
        <w:rPr>
          <w:bCs/>
          <w:sz w:val="40"/>
          <w:szCs w:val="40"/>
        </w:rPr>
      </w:pPr>
      <w:bookmarkStart w:id="0" w:name="_Toc106708731"/>
      <w:r>
        <w:rPr>
          <w:b/>
          <w:sz w:val="40"/>
          <w:szCs w:val="40"/>
        </w:rPr>
        <w:t xml:space="preserve">EQUALISATION OBJECTIVES AND SUPPORTING PRINCIPLES </w:t>
      </w:r>
      <w:bookmarkEnd w:id="0"/>
    </w:p>
    <w:p w:rsidR="00B604C1" w:rsidRPr="00970E6D" w:rsidRDefault="00B604C1" w:rsidP="00B604C1">
      <w:pPr>
        <w:tabs>
          <w:tab w:val="clear" w:pos="567"/>
        </w:tabs>
        <w:jc w:val="center"/>
        <w:rPr>
          <w:b/>
          <w:sz w:val="40"/>
          <w:szCs w:val="40"/>
        </w:rPr>
      </w:pPr>
    </w:p>
    <w:p w:rsidR="00B604C1" w:rsidRPr="00970E6D" w:rsidRDefault="00B604C1" w:rsidP="00B604C1">
      <w:pPr>
        <w:tabs>
          <w:tab w:val="clear" w:pos="567"/>
        </w:tabs>
        <w:jc w:val="center"/>
        <w:rPr>
          <w:b/>
          <w:sz w:val="40"/>
          <w:szCs w:val="40"/>
        </w:rPr>
      </w:pPr>
    </w:p>
    <w:p w:rsidR="00B604C1" w:rsidRPr="00970E6D" w:rsidRDefault="00B604C1" w:rsidP="00B604C1">
      <w:pPr>
        <w:tabs>
          <w:tab w:val="clear" w:pos="567"/>
        </w:tabs>
        <w:jc w:val="center"/>
        <w:rPr>
          <w:b/>
          <w:sz w:val="40"/>
          <w:szCs w:val="40"/>
        </w:rPr>
      </w:pPr>
    </w:p>
    <w:p w:rsidR="00B604C1" w:rsidRPr="00970E6D" w:rsidRDefault="00B604C1" w:rsidP="00B604C1">
      <w:pPr>
        <w:tabs>
          <w:tab w:val="clear" w:pos="567"/>
        </w:tabs>
        <w:jc w:val="center"/>
        <w:rPr>
          <w:b/>
          <w:sz w:val="40"/>
          <w:szCs w:val="40"/>
        </w:rPr>
      </w:pPr>
      <w:r w:rsidRPr="00970E6D">
        <w:rPr>
          <w:b/>
          <w:sz w:val="40"/>
          <w:szCs w:val="40"/>
        </w:rPr>
        <w:t>COMMISSION POSITION PAPER</w:t>
      </w:r>
      <w:r w:rsidRPr="00970E6D">
        <w:rPr>
          <w:b/>
          <w:sz w:val="40"/>
          <w:szCs w:val="40"/>
        </w:rPr>
        <w:br/>
        <w:t>CGC 201</w:t>
      </w:r>
      <w:r>
        <w:rPr>
          <w:b/>
          <w:sz w:val="40"/>
          <w:szCs w:val="40"/>
        </w:rPr>
        <w:t>3</w:t>
      </w:r>
      <w:r w:rsidRPr="00970E6D">
        <w:rPr>
          <w:b/>
          <w:sz w:val="40"/>
          <w:szCs w:val="40"/>
        </w:rPr>
        <w:t>-</w:t>
      </w:r>
      <w:r w:rsidR="00613D16">
        <w:rPr>
          <w:b/>
          <w:sz w:val="40"/>
          <w:szCs w:val="40"/>
        </w:rPr>
        <w:t>05</w:t>
      </w:r>
    </w:p>
    <w:p w:rsidR="00B604C1" w:rsidRPr="00970E6D" w:rsidRDefault="00B604C1" w:rsidP="00B604C1">
      <w:pPr>
        <w:tabs>
          <w:tab w:val="clear" w:pos="567"/>
        </w:tabs>
        <w:jc w:val="center"/>
        <w:rPr>
          <w:b/>
          <w:sz w:val="40"/>
          <w:szCs w:val="40"/>
        </w:rPr>
      </w:pPr>
    </w:p>
    <w:p w:rsidR="00B604C1" w:rsidRPr="00970E6D" w:rsidRDefault="00B604C1" w:rsidP="00B604C1">
      <w:pPr>
        <w:tabs>
          <w:tab w:val="clear" w:pos="567"/>
        </w:tabs>
        <w:jc w:val="center"/>
        <w:rPr>
          <w:b/>
          <w:sz w:val="40"/>
          <w:szCs w:val="40"/>
        </w:rPr>
      </w:pPr>
    </w:p>
    <w:p w:rsidR="00B604C1" w:rsidRPr="00970E6D" w:rsidRDefault="00B604C1" w:rsidP="00B604C1">
      <w:pPr>
        <w:tabs>
          <w:tab w:val="clear" w:pos="567"/>
        </w:tabs>
        <w:jc w:val="center"/>
        <w:rPr>
          <w:b/>
          <w:sz w:val="40"/>
          <w:szCs w:val="40"/>
        </w:rPr>
      </w:pPr>
    </w:p>
    <w:p w:rsidR="00B604C1" w:rsidRPr="00970E6D" w:rsidRDefault="00B604C1" w:rsidP="00B604C1">
      <w:pPr>
        <w:tabs>
          <w:tab w:val="clear" w:pos="567"/>
        </w:tabs>
        <w:jc w:val="center"/>
        <w:rPr>
          <w:sz w:val="40"/>
          <w:szCs w:val="40"/>
        </w:rPr>
      </w:pPr>
    </w:p>
    <w:p w:rsidR="00B604C1" w:rsidRDefault="00B604C1" w:rsidP="00B604C1">
      <w:pPr>
        <w:tabs>
          <w:tab w:val="clear" w:pos="567"/>
        </w:tabs>
        <w:jc w:val="right"/>
        <w:rPr>
          <w:b/>
          <w:sz w:val="28"/>
          <w:szCs w:val="28"/>
        </w:rPr>
      </w:pPr>
      <w:r>
        <w:rPr>
          <w:b/>
          <w:sz w:val="28"/>
          <w:szCs w:val="28"/>
        </w:rPr>
        <w:t>OCTOBER 2013</w:t>
      </w:r>
    </w:p>
    <w:p w:rsidR="00B604C1" w:rsidRPr="00970E6D" w:rsidRDefault="00B604C1" w:rsidP="00B604C1">
      <w:pPr>
        <w:tabs>
          <w:tab w:val="clear" w:pos="567"/>
        </w:tabs>
        <w:jc w:val="right"/>
        <w:rPr>
          <w:b/>
          <w:sz w:val="28"/>
          <w:szCs w:val="28"/>
        </w:rPr>
      </w:pPr>
    </w:p>
    <w:p w:rsidR="00B604C1" w:rsidRPr="00970E6D" w:rsidRDefault="00B604C1" w:rsidP="00B604C1">
      <w:pPr>
        <w:tabs>
          <w:tab w:val="clear" w:pos="567"/>
        </w:tabs>
      </w:pPr>
    </w:p>
    <w:p w:rsidR="00B604C1" w:rsidRPr="00970E6D" w:rsidRDefault="00B604C1" w:rsidP="00B604C1">
      <w:pPr>
        <w:tabs>
          <w:tab w:val="clear" w:pos="567"/>
        </w:tabs>
        <w:sectPr w:rsidR="00B604C1" w:rsidRPr="00970E6D" w:rsidSect="0024163B">
          <w:footerReference w:type="default" r:id="rId10"/>
          <w:footerReference w:type="first" r:id="rId11"/>
          <w:pgSz w:w="11899" w:h="16838" w:code="9"/>
          <w:pgMar w:top="1701" w:right="1474" w:bottom="1701" w:left="1474" w:header="709" w:footer="709" w:gutter="0"/>
          <w:cols w:space="708"/>
          <w:titlePg/>
          <w:docGrid w:linePitch="299"/>
        </w:sectPr>
      </w:pPr>
    </w:p>
    <w:tbl>
      <w:tblPr>
        <w:tblStyle w:val="TableGrid"/>
        <w:tblW w:w="5000" w:type="pct"/>
        <w:tblLook w:val="01E0" w:firstRow="1" w:lastRow="1" w:firstColumn="1" w:lastColumn="1" w:noHBand="0" w:noVBand="0"/>
      </w:tblPr>
      <w:tblGrid>
        <w:gridCol w:w="2943"/>
        <w:gridCol w:w="6224"/>
      </w:tblGrid>
      <w:tr w:rsidR="00B604C1" w:rsidRPr="00970E6D" w:rsidTr="0024163B">
        <w:tc>
          <w:tcPr>
            <w:tcW w:w="1605" w:type="pct"/>
            <w:tcBorders>
              <w:top w:val="single" w:sz="4" w:space="0" w:color="auto"/>
              <w:left w:val="single" w:sz="4" w:space="0" w:color="auto"/>
              <w:bottom w:val="single" w:sz="4" w:space="0" w:color="auto"/>
              <w:right w:val="single" w:sz="4" w:space="0" w:color="auto"/>
            </w:tcBorders>
          </w:tcPr>
          <w:p w:rsidR="00B604C1" w:rsidRPr="00970E6D" w:rsidRDefault="00B604C1" w:rsidP="0024163B">
            <w:pPr>
              <w:tabs>
                <w:tab w:val="clear" w:pos="567"/>
                <w:tab w:val="clear" w:pos="1418"/>
                <w:tab w:val="clear" w:pos="2268"/>
                <w:tab w:val="clear" w:pos="2835"/>
              </w:tabs>
            </w:pPr>
            <w:r w:rsidRPr="00970E6D">
              <w:lastRenderedPageBreak/>
              <w:t>Paper issued</w:t>
            </w:r>
          </w:p>
        </w:tc>
        <w:tc>
          <w:tcPr>
            <w:tcW w:w="3395" w:type="pct"/>
            <w:tcBorders>
              <w:top w:val="single" w:sz="4" w:space="0" w:color="auto"/>
              <w:left w:val="single" w:sz="4" w:space="0" w:color="auto"/>
              <w:bottom w:val="single" w:sz="4" w:space="0" w:color="auto"/>
              <w:right w:val="single" w:sz="4" w:space="0" w:color="auto"/>
            </w:tcBorders>
          </w:tcPr>
          <w:p w:rsidR="00B604C1" w:rsidRPr="00970E6D" w:rsidRDefault="007C3A5A" w:rsidP="00613D16">
            <w:pPr>
              <w:tabs>
                <w:tab w:val="clear" w:pos="567"/>
                <w:tab w:val="clear" w:pos="1418"/>
                <w:tab w:val="clear" w:pos="2268"/>
                <w:tab w:val="clear" w:pos="2835"/>
              </w:tabs>
            </w:pPr>
            <w:r>
              <w:t>23</w:t>
            </w:r>
            <w:r w:rsidR="00613D16">
              <w:t xml:space="preserve"> October 2013</w:t>
            </w:r>
          </w:p>
        </w:tc>
      </w:tr>
      <w:tr w:rsidR="00B604C1" w:rsidRPr="00970E6D" w:rsidTr="0024163B">
        <w:tc>
          <w:tcPr>
            <w:tcW w:w="1605" w:type="pct"/>
            <w:tcBorders>
              <w:top w:val="single" w:sz="4" w:space="0" w:color="auto"/>
              <w:left w:val="single" w:sz="4" w:space="0" w:color="auto"/>
              <w:bottom w:val="single" w:sz="4" w:space="0" w:color="auto"/>
              <w:right w:val="single" w:sz="4" w:space="0" w:color="auto"/>
            </w:tcBorders>
          </w:tcPr>
          <w:p w:rsidR="00B604C1" w:rsidRPr="00970E6D" w:rsidRDefault="00B604C1" w:rsidP="0024163B">
            <w:pPr>
              <w:tabs>
                <w:tab w:val="clear" w:pos="567"/>
                <w:tab w:val="clear" w:pos="1418"/>
                <w:tab w:val="clear" w:pos="2268"/>
                <w:tab w:val="clear" w:pos="2835"/>
              </w:tabs>
            </w:pPr>
            <w:r w:rsidRPr="00970E6D">
              <w:t>Commission contact officer</w:t>
            </w:r>
          </w:p>
        </w:tc>
        <w:tc>
          <w:tcPr>
            <w:tcW w:w="3395" w:type="pct"/>
            <w:tcBorders>
              <w:top w:val="single" w:sz="4" w:space="0" w:color="auto"/>
              <w:left w:val="single" w:sz="4" w:space="0" w:color="auto"/>
              <w:bottom w:val="single" w:sz="4" w:space="0" w:color="auto"/>
              <w:right w:val="single" w:sz="4" w:space="0" w:color="auto"/>
            </w:tcBorders>
          </w:tcPr>
          <w:p w:rsidR="00B604C1" w:rsidRPr="00970E6D" w:rsidRDefault="00613D16" w:rsidP="007C3A5A">
            <w:pPr>
              <w:tabs>
                <w:tab w:val="clear" w:pos="567"/>
                <w:tab w:val="clear" w:pos="1418"/>
                <w:tab w:val="clear" w:pos="2268"/>
                <w:tab w:val="clear" w:pos="2835"/>
              </w:tabs>
            </w:pPr>
            <w:r>
              <w:t>John Spasojevic</w:t>
            </w:r>
            <w:r w:rsidR="00B604C1" w:rsidRPr="00970E6D">
              <w:t xml:space="preserve">, </w:t>
            </w:r>
            <w:r>
              <w:t>02 6229 8814</w:t>
            </w:r>
            <w:r w:rsidR="00B604C1" w:rsidRPr="00970E6D">
              <w:t xml:space="preserve">, </w:t>
            </w:r>
            <w:r>
              <w:t>John.Spasojevic@</w:t>
            </w:r>
            <w:r w:rsidR="007C3A5A">
              <w:t>cgc</w:t>
            </w:r>
            <w:r>
              <w:t>.gov.au</w:t>
            </w:r>
          </w:p>
        </w:tc>
      </w:tr>
      <w:tr w:rsidR="00B604C1" w:rsidRPr="00970E6D" w:rsidTr="0024163B">
        <w:tc>
          <w:tcPr>
            <w:tcW w:w="1605" w:type="pct"/>
            <w:tcBorders>
              <w:top w:val="single" w:sz="4" w:space="0" w:color="auto"/>
              <w:left w:val="single" w:sz="4" w:space="0" w:color="auto"/>
              <w:bottom w:val="single" w:sz="4" w:space="0" w:color="auto"/>
              <w:right w:val="single" w:sz="4" w:space="0" w:color="auto"/>
            </w:tcBorders>
          </w:tcPr>
          <w:p w:rsidR="00B604C1" w:rsidRPr="00970E6D" w:rsidRDefault="00B604C1" w:rsidP="0024163B">
            <w:pPr>
              <w:tabs>
                <w:tab w:val="clear" w:pos="567"/>
                <w:tab w:val="clear" w:pos="1418"/>
                <w:tab w:val="clear" w:pos="2268"/>
                <w:tab w:val="clear" w:pos="2835"/>
              </w:tabs>
            </w:pPr>
            <w:r w:rsidRPr="00970E6D">
              <w:t>Submissions sought by</w:t>
            </w:r>
          </w:p>
        </w:tc>
        <w:tc>
          <w:tcPr>
            <w:tcW w:w="3395" w:type="pct"/>
            <w:tcBorders>
              <w:top w:val="single" w:sz="4" w:space="0" w:color="auto"/>
              <w:left w:val="single" w:sz="4" w:space="0" w:color="auto"/>
              <w:bottom w:val="single" w:sz="4" w:space="0" w:color="auto"/>
              <w:right w:val="single" w:sz="4" w:space="0" w:color="auto"/>
            </w:tcBorders>
          </w:tcPr>
          <w:p w:rsidR="00B604C1" w:rsidRPr="00970E6D" w:rsidRDefault="00613D16" w:rsidP="0024163B">
            <w:pPr>
              <w:tabs>
                <w:tab w:val="clear" w:pos="567"/>
                <w:tab w:val="clear" w:pos="1418"/>
                <w:tab w:val="clear" w:pos="2268"/>
                <w:tab w:val="clear" w:pos="2835"/>
              </w:tabs>
            </w:pPr>
            <w:r>
              <w:t>3</w:t>
            </w:r>
            <w:r w:rsidR="00833606">
              <w:t>1</w:t>
            </w:r>
            <w:r>
              <w:t xml:space="preserve"> January 2014</w:t>
            </w:r>
            <w:r w:rsidR="00B604C1" w:rsidRPr="00970E6D">
              <w:t>.</w:t>
            </w:r>
            <w:r w:rsidR="00A16B64">
              <w:t xml:space="preserve"> </w:t>
            </w:r>
            <w:r w:rsidR="00B604C1" w:rsidRPr="00970E6D">
              <w:t xml:space="preserve">Submissions should be emailed in Word format to </w:t>
            </w:r>
            <w:hyperlink r:id="rId12" w:history="1">
              <w:r w:rsidR="00B604C1" w:rsidRPr="00970E6D">
                <w:rPr>
                  <w:rStyle w:val="Hyperlink"/>
                </w:rPr>
                <w:t>secretary@cgc.gov.au</w:t>
              </w:r>
            </w:hyperlink>
            <w:r w:rsidR="00B604C1" w:rsidRPr="00970E6D">
              <w:t xml:space="preserve"> .</w:t>
            </w:r>
          </w:p>
          <w:p w:rsidR="00B604C1" w:rsidRPr="00970E6D" w:rsidRDefault="00B604C1" w:rsidP="0024163B">
            <w:pPr>
              <w:tabs>
                <w:tab w:val="clear" w:pos="567"/>
                <w:tab w:val="clear" w:pos="1418"/>
                <w:tab w:val="clear" w:pos="2268"/>
                <w:tab w:val="clear" w:pos="2835"/>
              </w:tabs>
            </w:pPr>
            <w:r w:rsidRPr="00970E6D">
              <w:t xml:space="preserve">Submissions of more than </w:t>
            </w:r>
            <w:r>
              <w:t>10</w:t>
            </w:r>
            <w:r w:rsidRPr="00970E6D">
              <w:t xml:space="preserve"> pages in length should include a summary section.</w:t>
            </w:r>
          </w:p>
        </w:tc>
      </w:tr>
      <w:tr w:rsidR="00B604C1" w:rsidRPr="00970E6D" w:rsidTr="0024163B">
        <w:tc>
          <w:tcPr>
            <w:tcW w:w="1605" w:type="pct"/>
            <w:tcBorders>
              <w:top w:val="single" w:sz="4" w:space="0" w:color="auto"/>
              <w:left w:val="single" w:sz="4" w:space="0" w:color="auto"/>
              <w:bottom w:val="single" w:sz="4" w:space="0" w:color="auto"/>
              <w:right w:val="single" w:sz="4" w:space="0" w:color="auto"/>
            </w:tcBorders>
          </w:tcPr>
          <w:p w:rsidR="00B604C1" w:rsidRPr="00970E6D" w:rsidRDefault="00B604C1" w:rsidP="0024163B">
            <w:pPr>
              <w:tabs>
                <w:tab w:val="clear" w:pos="567"/>
                <w:tab w:val="clear" w:pos="1418"/>
                <w:tab w:val="clear" w:pos="2268"/>
                <w:tab w:val="clear" w:pos="2835"/>
              </w:tabs>
            </w:pPr>
            <w:r w:rsidRPr="00970E6D">
              <w:t>Confidential material</w:t>
            </w:r>
          </w:p>
        </w:tc>
        <w:tc>
          <w:tcPr>
            <w:tcW w:w="3395" w:type="pct"/>
            <w:tcBorders>
              <w:top w:val="single" w:sz="4" w:space="0" w:color="auto"/>
              <w:left w:val="single" w:sz="4" w:space="0" w:color="auto"/>
              <w:bottom w:val="single" w:sz="4" w:space="0" w:color="auto"/>
              <w:right w:val="single" w:sz="4" w:space="0" w:color="auto"/>
            </w:tcBorders>
          </w:tcPr>
          <w:p w:rsidR="00B604C1" w:rsidRPr="00CF1294" w:rsidRDefault="00B604C1" w:rsidP="0024163B">
            <w:pPr>
              <w:tabs>
                <w:tab w:val="clear" w:pos="567"/>
                <w:tab w:val="clear" w:pos="1418"/>
                <w:tab w:val="clear" w:pos="2268"/>
                <w:tab w:val="clear" w:pos="2835"/>
              </w:tabs>
            </w:pPr>
            <w:r w:rsidRPr="00CF1294">
              <w:t xml:space="preserve">It is the commission’s normal practice to make State submissions available on its website under the CC BY licence, allowing free use of content by third parties. </w:t>
            </w:r>
          </w:p>
          <w:p w:rsidR="00B604C1" w:rsidRPr="00CF1294" w:rsidRDefault="00B604C1" w:rsidP="0024163B">
            <w:pPr>
              <w:tabs>
                <w:tab w:val="clear" w:pos="567"/>
                <w:tab w:val="clear" w:pos="1418"/>
                <w:tab w:val="clear" w:pos="2268"/>
                <w:tab w:val="clear" w:pos="2835"/>
              </w:tabs>
            </w:pPr>
            <w:r w:rsidRPr="00CF1294">
              <w:rPr>
                <w:noProof/>
                <w:lang w:eastAsia="en-AU"/>
              </w:rPr>
              <w:drawing>
                <wp:inline distT="0" distB="0" distL="0" distR="0" wp14:anchorId="08C029C3" wp14:editId="4F0EDD01">
                  <wp:extent cx="828675" cy="295275"/>
                  <wp:effectExtent l="19050" t="0" r="9525" b="0"/>
                  <wp:docPr id="3" name="Picture 1"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3"/>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rsidR="00B604C1" w:rsidRPr="00CF1294" w:rsidRDefault="00B604C1" w:rsidP="0024163B">
            <w:pPr>
              <w:tabs>
                <w:tab w:val="clear" w:pos="567"/>
                <w:tab w:val="clear" w:pos="1418"/>
                <w:tab w:val="clear" w:pos="2268"/>
                <w:tab w:val="clear" w:pos="2835"/>
              </w:tabs>
            </w:pPr>
            <w:r w:rsidRPr="00CF1294">
              <w:t xml:space="preserve">Further information on the CC BY licence can be found at </w:t>
            </w:r>
            <w:hyperlink r:id="rId14" w:history="1">
              <w:r w:rsidRPr="00CF1294">
                <w:rPr>
                  <w:rStyle w:val="Hyperlink"/>
                </w:rPr>
                <w:t>http://www.creativecommons.org</w:t>
              </w:r>
            </w:hyperlink>
            <w:r w:rsidRPr="00CF1294">
              <w:t xml:space="preserve"> </w:t>
            </w:r>
          </w:p>
          <w:p w:rsidR="00B604C1" w:rsidRPr="00970E6D" w:rsidRDefault="00B604C1" w:rsidP="0024163B">
            <w:pPr>
              <w:tabs>
                <w:tab w:val="clear" w:pos="567"/>
                <w:tab w:val="clear" w:pos="1418"/>
                <w:tab w:val="clear" w:pos="2268"/>
                <w:tab w:val="clear" w:pos="2835"/>
              </w:tabs>
            </w:pPr>
            <w:r w:rsidRPr="00CF1294">
              <w:t>Confidential material contained in submissions must be clearly identified or included in separate attachment/s, and details provided in the covering email. Identified confidential material will not be published on the commission’s website.</w:t>
            </w:r>
          </w:p>
        </w:tc>
      </w:tr>
    </w:tbl>
    <w:p w:rsidR="00B604C1" w:rsidRPr="00970E6D" w:rsidRDefault="00B604C1" w:rsidP="00B604C1">
      <w:pPr>
        <w:tabs>
          <w:tab w:val="clear" w:pos="567"/>
        </w:tabs>
        <w:sectPr w:rsidR="00B604C1" w:rsidRPr="00970E6D" w:rsidSect="0024163B">
          <w:headerReference w:type="first" r:id="rId15"/>
          <w:footerReference w:type="first" r:id="rId16"/>
          <w:pgSz w:w="11899" w:h="16838" w:code="9"/>
          <w:pgMar w:top="1701" w:right="1474" w:bottom="1701" w:left="1474" w:header="709" w:footer="709" w:gutter="0"/>
          <w:cols w:space="708"/>
          <w:vAlign w:val="bottom"/>
          <w:titlePg/>
          <w:docGrid w:linePitch="299"/>
        </w:sectPr>
      </w:pPr>
    </w:p>
    <w:p w:rsidR="00B604C1" w:rsidRPr="00970E6D" w:rsidRDefault="00B604C1" w:rsidP="00B604C1">
      <w:pPr>
        <w:pStyle w:val="Heading1"/>
      </w:pPr>
      <w:r w:rsidRPr="00970E6D">
        <w:lastRenderedPageBreak/>
        <w:t>CONTENTS</w:t>
      </w:r>
    </w:p>
    <w:p w:rsidR="00B604C1" w:rsidRDefault="00B604C1" w:rsidP="00B604C1">
      <w:pPr>
        <w:pStyle w:val="TOC1"/>
        <w:rPr>
          <w:rFonts w:eastAsiaTheme="minorEastAsia"/>
          <w:b w:val="0"/>
          <w:bCs w:val="0"/>
          <w:caps w:val="0"/>
          <w:noProof/>
          <w:sz w:val="22"/>
          <w:szCs w:val="22"/>
          <w:lang w:eastAsia="en-AU"/>
        </w:rPr>
      </w:pPr>
      <w:r>
        <w:rPr>
          <w:b w:val="0"/>
          <w:bCs w:val="0"/>
          <w:caps w:val="0"/>
        </w:rPr>
        <w:fldChar w:fldCharType="begin"/>
      </w:r>
      <w:r>
        <w:rPr>
          <w:b w:val="0"/>
          <w:bCs w:val="0"/>
          <w:caps w:val="0"/>
        </w:rPr>
        <w:instrText xml:space="preserve"> TOC \f \h \z \u \t "Heading 3,1,Heading 4,2" </w:instrText>
      </w:r>
      <w:r>
        <w:rPr>
          <w:b w:val="0"/>
          <w:bCs w:val="0"/>
          <w:caps w:val="0"/>
        </w:rPr>
        <w:fldChar w:fldCharType="separate"/>
      </w:r>
      <w:hyperlink w:anchor="_Toc365884950" w:history="1">
        <w:r w:rsidRPr="00292C03">
          <w:rPr>
            <w:rStyle w:val="Hyperlink"/>
            <w:noProof/>
          </w:rPr>
          <w:t>Executive SUMMARY</w:t>
        </w:r>
        <w:r>
          <w:rPr>
            <w:noProof/>
            <w:webHidden/>
          </w:rPr>
          <w:tab/>
        </w:r>
        <w:r>
          <w:rPr>
            <w:noProof/>
            <w:webHidden/>
          </w:rPr>
          <w:fldChar w:fldCharType="begin"/>
        </w:r>
        <w:r>
          <w:rPr>
            <w:noProof/>
            <w:webHidden/>
          </w:rPr>
          <w:instrText xml:space="preserve"> PAGEREF _Toc365884950 \h </w:instrText>
        </w:r>
        <w:r>
          <w:rPr>
            <w:noProof/>
            <w:webHidden/>
          </w:rPr>
        </w:r>
        <w:r>
          <w:rPr>
            <w:noProof/>
            <w:webHidden/>
          </w:rPr>
          <w:fldChar w:fldCharType="separate"/>
        </w:r>
        <w:r w:rsidR="00A16B64">
          <w:rPr>
            <w:noProof/>
            <w:webHidden/>
          </w:rPr>
          <w:t>2</w:t>
        </w:r>
        <w:r>
          <w:rPr>
            <w:noProof/>
            <w:webHidden/>
          </w:rPr>
          <w:fldChar w:fldCharType="end"/>
        </w:r>
      </w:hyperlink>
    </w:p>
    <w:p w:rsidR="00B604C1" w:rsidRDefault="007C3A5A" w:rsidP="00B604C1">
      <w:pPr>
        <w:pStyle w:val="TOC1"/>
        <w:rPr>
          <w:rFonts w:eastAsiaTheme="minorEastAsia"/>
          <w:b w:val="0"/>
          <w:bCs w:val="0"/>
          <w:caps w:val="0"/>
          <w:noProof/>
          <w:sz w:val="22"/>
          <w:szCs w:val="22"/>
          <w:lang w:eastAsia="en-AU"/>
        </w:rPr>
      </w:pPr>
      <w:hyperlink w:anchor="_Toc365884951" w:history="1">
        <w:r w:rsidR="00B604C1" w:rsidRPr="00292C03">
          <w:rPr>
            <w:rStyle w:val="Hyperlink"/>
            <w:noProof/>
          </w:rPr>
          <w:t>Introduction</w:t>
        </w:r>
        <w:r w:rsidR="00B604C1">
          <w:rPr>
            <w:noProof/>
            <w:webHidden/>
          </w:rPr>
          <w:tab/>
        </w:r>
        <w:r w:rsidR="00B604C1">
          <w:rPr>
            <w:noProof/>
            <w:webHidden/>
          </w:rPr>
          <w:fldChar w:fldCharType="begin"/>
        </w:r>
        <w:r w:rsidR="00B604C1">
          <w:rPr>
            <w:noProof/>
            <w:webHidden/>
          </w:rPr>
          <w:instrText xml:space="preserve"> PAGEREF _Toc365884951 \h </w:instrText>
        </w:r>
        <w:r w:rsidR="00B604C1">
          <w:rPr>
            <w:noProof/>
            <w:webHidden/>
          </w:rPr>
        </w:r>
        <w:r w:rsidR="00B604C1">
          <w:rPr>
            <w:noProof/>
            <w:webHidden/>
          </w:rPr>
          <w:fldChar w:fldCharType="separate"/>
        </w:r>
        <w:r w:rsidR="00A16B64">
          <w:rPr>
            <w:noProof/>
            <w:webHidden/>
          </w:rPr>
          <w:t>2</w:t>
        </w:r>
        <w:r w:rsidR="00B604C1">
          <w:rPr>
            <w:noProof/>
            <w:webHidden/>
          </w:rPr>
          <w:fldChar w:fldCharType="end"/>
        </w:r>
      </w:hyperlink>
    </w:p>
    <w:p w:rsidR="00B604C1" w:rsidRDefault="007C3A5A" w:rsidP="00B604C1">
      <w:pPr>
        <w:pStyle w:val="TOC1"/>
        <w:rPr>
          <w:rFonts w:eastAsiaTheme="minorEastAsia"/>
          <w:b w:val="0"/>
          <w:bCs w:val="0"/>
          <w:caps w:val="0"/>
          <w:noProof/>
          <w:sz w:val="22"/>
          <w:szCs w:val="22"/>
          <w:lang w:eastAsia="en-AU"/>
        </w:rPr>
      </w:pPr>
      <w:hyperlink w:anchor="_Toc365884952" w:history="1">
        <w:r w:rsidR="00B604C1" w:rsidRPr="00292C03">
          <w:rPr>
            <w:rStyle w:val="Hyperlink"/>
            <w:noProof/>
          </w:rPr>
          <w:t>OBJECTIVES OF THE GST DISTRIBUTION</w:t>
        </w:r>
        <w:r w:rsidR="00B604C1">
          <w:rPr>
            <w:noProof/>
            <w:webHidden/>
          </w:rPr>
          <w:tab/>
        </w:r>
        <w:r w:rsidR="00B604C1">
          <w:rPr>
            <w:noProof/>
            <w:webHidden/>
          </w:rPr>
          <w:fldChar w:fldCharType="begin"/>
        </w:r>
        <w:r w:rsidR="00B604C1">
          <w:rPr>
            <w:noProof/>
            <w:webHidden/>
          </w:rPr>
          <w:instrText xml:space="preserve"> PAGEREF _Toc365884952 \h </w:instrText>
        </w:r>
        <w:r w:rsidR="00B604C1">
          <w:rPr>
            <w:noProof/>
            <w:webHidden/>
          </w:rPr>
        </w:r>
        <w:r w:rsidR="00B604C1">
          <w:rPr>
            <w:noProof/>
            <w:webHidden/>
          </w:rPr>
          <w:fldChar w:fldCharType="separate"/>
        </w:r>
        <w:r w:rsidR="00A16B64">
          <w:rPr>
            <w:noProof/>
            <w:webHidden/>
          </w:rPr>
          <w:t>2</w:t>
        </w:r>
        <w:r w:rsidR="00B604C1">
          <w:rPr>
            <w:noProof/>
            <w:webHidden/>
          </w:rPr>
          <w:fldChar w:fldCharType="end"/>
        </w:r>
      </w:hyperlink>
    </w:p>
    <w:p w:rsidR="00B604C1" w:rsidRDefault="007C3A5A" w:rsidP="00B604C1">
      <w:pPr>
        <w:pStyle w:val="TOC1"/>
        <w:rPr>
          <w:rFonts w:eastAsiaTheme="minorEastAsia"/>
          <w:b w:val="0"/>
          <w:bCs w:val="0"/>
          <w:caps w:val="0"/>
          <w:noProof/>
          <w:sz w:val="22"/>
          <w:szCs w:val="22"/>
          <w:lang w:eastAsia="en-AU"/>
        </w:rPr>
      </w:pPr>
      <w:hyperlink w:anchor="_Toc365884953" w:history="1">
        <w:r w:rsidR="00B604C1" w:rsidRPr="00292C03">
          <w:rPr>
            <w:rStyle w:val="Hyperlink"/>
            <w:noProof/>
          </w:rPr>
          <w:t>Supporting principles</w:t>
        </w:r>
        <w:r w:rsidR="00B604C1">
          <w:rPr>
            <w:noProof/>
            <w:webHidden/>
          </w:rPr>
          <w:tab/>
        </w:r>
        <w:r w:rsidR="00B604C1">
          <w:rPr>
            <w:noProof/>
            <w:webHidden/>
          </w:rPr>
          <w:fldChar w:fldCharType="begin"/>
        </w:r>
        <w:r w:rsidR="00B604C1">
          <w:rPr>
            <w:noProof/>
            <w:webHidden/>
          </w:rPr>
          <w:instrText xml:space="preserve"> PAGEREF _Toc365884953 \h </w:instrText>
        </w:r>
        <w:r w:rsidR="00B604C1">
          <w:rPr>
            <w:noProof/>
            <w:webHidden/>
          </w:rPr>
        </w:r>
        <w:r w:rsidR="00B604C1">
          <w:rPr>
            <w:noProof/>
            <w:webHidden/>
          </w:rPr>
          <w:fldChar w:fldCharType="separate"/>
        </w:r>
        <w:r w:rsidR="00A16B64">
          <w:rPr>
            <w:noProof/>
            <w:webHidden/>
          </w:rPr>
          <w:t>4</w:t>
        </w:r>
        <w:r w:rsidR="00B604C1">
          <w:rPr>
            <w:noProof/>
            <w:webHidden/>
          </w:rPr>
          <w:fldChar w:fldCharType="end"/>
        </w:r>
      </w:hyperlink>
    </w:p>
    <w:p w:rsidR="00B604C1" w:rsidRDefault="007C3A5A" w:rsidP="00B604C1">
      <w:pPr>
        <w:pStyle w:val="TOC1"/>
        <w:rPr>
          <w:rFonts w:eastAsiaTheme="minorEastAsia"/>
          <w:b w:val="0"/>
          <w:bCs w:val="0"/>
          <w:caps w:val="0"/>
          <w:noProof/>
          <w:sz w:val="22"/>
          <w:szCs w:val="22"/>
          <w:lang w:eastAsia="en-AU"/>
        </w:rPr>
      </w:pPr>
      <w:hyperlink w:anchor="_Toc365884954" w:history="1">
        <w:r w:rsidR="00B604C1" w:rsidRPr="00292C03">
          <w:rPr>
            <w:rStyle w:val="Hyperlink"/>
            <w:noProof/>
          </w:rPr>
          <w:t>What States do</w:t>
        </w:r>
        <w:r w:rsidR="00B604C1">
          <w:rPr>
            <w:noProof/>
            <w:webHidden/>
          </w:rPr>
          <w:tab/>
        </w:r>
        <w:r w:rsidR="00B604C1">
          <w:rPr>
            <w:noProof/>
            <w:webHidden/>
          </w:rPr>
          <w:fldChar w:fldCharType="begin"/>
        </w:r>
        <w:r w:rsidR="00B604C1">
          <w:rPr>
            <w:noProof/>
            <w:webHidden/>
          </w:rPr>
          <w:instrText xml:space="preserve"> PAGEREF _Toc365884954 \h </w:instrText>
        </w:r>
        <w:r w:rsidR="00B604C1">
          <w:rPr>
            <w:noProof/>
            <w:webHidden/>
          </w:rPr>
        </w:r>
        <w:r w:rsidR="00B604C1">
          <w:rPr>
            <w:noProof/>
            <w:webHidden/>
          </w:rPr>
          <w:fldChar w:fldCharType="separate"/>
        </w:r>
        <w:r w:rsidR="00A16B64">
          <w:rPr>
            <w:noProof/>
            <w:webHidden/>
          </w:rPr>
          <w:t>5</w:t>
        </w:r>
        <w:r w:rsidR="00B604C1">
          <w:rPr>
            <w:noProof/>
            <w:webHidden/>
          </w:rPr>
          <w:fldChar w:fldCharType="end"/>
        </w:r>
      </w:hyperlink>
    </w:p>
    <w:p w:rsidR="00B604C1" w:rsidRDefault="007C3A5A" w:rsidP="00B604C1">
      <w:pPr>
        <w:pStyle w:val="TOC1"/>
        <w:rPr>
          <w:rFonts w:eastAsiaTheme="minorEastAsia"/>
          <w:b w:val="0"/>
          <w:bCs w:val="0"/>
          <w:caps w:val="0"/>
          <w:noProof/>
          <w:sz w:val="22"/>
          <w:szCs w:val="22"/>
          <w:lang w:eastAsia="en-AU"/>
        </w:rPr>
      </w:pPr>
      <w:hyperlink w:anchor="_Toc365884955" w:history="1">
        <w:r w:rsidR="00B604C1" w:rsidRPr="00292C03">
          <w:rPr>
            <w:rStyle w:val="Hyperlink"/>
            <w:noProof/>
          </w:rPr>
          <w:t>Policy neutrality</w:t>
        </w:r>
        <w:r w:rsidR="00B604C1">
          <w:rPr>
            <w:noProof/>
            <w:webHidden/>
          </w:rPr>
          <w:tab/>
        </w:r>
        <w:r w:rsidR="00B604C1">
          <w:rPr>
            <w:noProof/>
            <w:webHidden/>
          </w:rPr>
          <w:fldChar w:fldCharType="begin"/>
        </w:r>
        <w:r w:rsidR="00B604C1">
          <w:rPr>
            <w:noProof/>
            <w:webHidden/>
          </w:rPr>
          <w:instrText xml:space="preserve"> PAGEREF _Toc365884955 \h </w:instrText>
        </w:r>
        <w:r w:rsidR="00B604C1">
          <w:rPr>
            <w:noProof/>
            <w:webHidden/>
          </w:rPr>
        </w:r>
        <w:r w:rsidR="00B604C1">
          <w:rPr>
            <w:noProof/>
            <w:webHidden/>
          </w:rPr>
          <w:fldChar w:fldCharType="separate"/>
        </w:r>
        <w:r w:rsidR="00A16B64">
          <w:rPr>
            <w:noProof/>
            <w:webHidden/>
          </w:rPr>
          <w:t>6</w:t>
        </w:r>
        <w:r w:rsidR="00B604C1">
          <w:rPr>
            <w:noProof/>
            <w:webHidden/>
          </w:rPr>
          <w:fldChar w:fldCharType="end"/>
        </w:r>
      </w:hyperlink>
    </w:p>
    <w:p w:rsidR="00B604C1" w:rsidRDefault="007C3A5A" w:rsidP="00B604C1">
      <w:pPr>
        <w:pStyle w:val="TOC1"/>
        <w:rPr>
          <w:rFonts w:eastAsiaTheme="minorEastAsia"/>
          <w:b w:val="0"/>
          <w:bCs w:val="0"/>
          <w:caps w:val="0"/>
          <w:noProof/>
          <w:sz w:val="22"/>
          <w:szCs w:val="22"/>
          <w:lang w:eastAsia="en-AU"/>
        </w:rPr>
      </w:pPr>
      <w:hyperlink w:anchor="_Toc365884956" w:history="1">
        <w:r w:rsidR="00B604C1" w:rsidRPr="00292C03">
          <w:rPr>
            <w:rStyle w:val="Hyperlink"/>
            <w:noProof/>
          </w:rPr>
          <w:t>Practicality</w:t>
        </w:r>
        <w:r w:rsidR="00B604C1">
          <w:rPr>
            <w:noProof/>
            <w:webHidden/>
          </w:rPr>
          <w:tab/>
        </w:r>
        <w:r w:rsidR="00B604C1">
          <w:rPr>
            <w:noProof/>
            <w:webHidden/>
          </w:rPr>
          <w:fldChar w:fldCharType="begin"/>
        </w:r>
        <w:r w:rsidR="00B604C1">
          <w:rPr>
            <w:noProof/>
            <w:webHidden/>
          </w:rPr>
          <w:instrText xml:space="preserve"> PAGEREF _Toc365884956 \h </w:instrText>
        </w:r>
        <w:r w:rsidR="00B604C1">
          <w:rPr>
            <w:noProof/>
            <w:webHidden/>
          </w:rPr>
        </w:r>
        <w:r w:rsidR="00B604C1">
          <w:rPr>
            <w:noProof/>
            <w:webHidden/>
          </w:rPr>
          <w:fldChar w:fldCharType="separate"/>
        </w:r>
        <w:r w:rsidR="00A16B64">
          <w:rPr>
            <w:noProof/>
            <w:webHidden/>
          </w:rPr>
          <w:t>7</w:t>
        </w:r>
        <w:r w:rsidR="00B604C1">
          <w:rPr>
            <w:noProof/>
            <w:webHidden/>
          </w:rPr>
          <w:fldChar w:fldCharType="end"/>
        </w:r>
      </w:hyperlink>
    </w:p>
    <w:p w:rsidR="00B604C1" w:rsidRDefault="007C3A5A" w:rsidP="00B604C1">
      <w:pPr>
        <w:pStyle w:val="TOC1"/>
        <w:rPr>
          <w:rFonts w:eastAsiaTheme="minorEastAsia"/>
          <w:b w:val="0"/>
          <w:bCs w:val="0"/>
          <w:caps w:val="0"/>
          <w:noProof/>
          <w:sz w:val="22"/>
          <w:szCs w:val="22"/>
          <w:lang w:eastAsia="en-AU"/>
        </w:rPr>
      </w:pPr>
      <w:hyperlink w:anchor="_Toc365884957" w:history="1">
        <w:r w:rsidR="00B604C1" w:rsidRPr="00292C03">
          <w:rPr>
            <w:rStyle w:val="Hyperlink"/>
            <w:noProof/>
          </w:rPr>
          <w:t>Contemporaneity</w:t>
        </w:r>
        <w:r w:rsidR="00B604C1">
          <w:rPr>
            <w:noProof/>
            <w:webHidden/>
          </w:rPr>
          <w:tab/>
        </w:r>
        <w:r w:rsidR="00B604C1">
          <w:rPr>
            <w:noProof/>
            <w:webHidden/>
          </w:rPr>
          <w:fldChar w:fldCharType="begin"/>
        </w:r>
        <w:r w:rsidR="00B604C1">
          <w:rPr>
            <w:noProof/>
            <w:webHidden/>
          </w:rPr>
          <w:instrText xml:space="preserve"> PAGEREF _Toc365884957 \h </w:instrText>
        </w:r>
        <w:r w:rsidR="00B604C1">
          <w:rPr>
            <w:noProof/>
            <w:webHidden/>
          </w:rPr>
        </w:r>
        <w:r w:rsidR="00B604C1">
          <w:rPr>
            <w:noProof/>
            <w:webHidden/>
          </w:rPr>
          <w:fldChar w:fldCharType="separate"/>
        </w:r>
        <w:r w:rsidR="00A16B64">
          <w:rPr>
            <w:noProof/>
            <w:webHidden/>
          </w:rPr>
          <w:t>8</w:t>
        </w:r>
        <w:r w:rsidR="00B604C1">
          <w:rPr>
            <w:noProof/>
            <w:webHidden/>
          </w:rPr>
          <w:fldChar w:fldCharType="end"/>
        </w:r>
      </w:hyperlink>
    </w:p>
    <w:p w:rsidR="00B604C1" w:rsidRDefault="007C3A5A" w:rsidP="00B604C1">
      <w:pPr>
        <w:pStyle w:val="TOC1"/>
        <w:rPr>
          <w:rFonts w:eastAsiaTheme="minorEastAsia"/>
          <w:b w:val="0"/>
          <w:bCs w:val="0"/>
          <w:caps w:val="0"/>
          <w:noProof/>
          <w:sz w:val="22"/>
          <w:szCs w:val="22"/>
          <w:lang w:eastAsia="en-AU"/>
        </w:rPr>
      </w:pPr>
      <w:hyperlink w:anchor="_Toc365884958" w:history="1">
        <w:r w:rsidR="00B604C1" w:rsidRPr="00292C03">
          <w:rPr>
            <w:rStyle w:val="Hyperlink"/>
            <w:noProof/>
          </w:rPr>
          <w:t>Concluding remarks</w:t>
        </w:r>
        <w:r w:rsidR="00B604C1">
          <w:rPr>
            <w:noProof/>
            <w:webHidden/>
          </w:rPr>
          <w:tab/>
        </w:r>
        <w:r w:rsidR="00B604C1">
          <w:rPr>
            <w:noProof/>
            <w:webHidden/>
          </w:rPr>
          <w:fldChar w:fldCharType="begin"/>
        </w:r>
        <w:r w:rsidR="00B604C1">
          <w:rPr>
            <w:noProof/>
            <w:webHidden/>
          </w:rPr>
          <w:instrText xml:space="preserve"> PAGEREF _Toc365884958 \h </w:instrText>
        </w:r>
        <w:r w:rsidR="00B604C1">
          <w:rPr>
            <w:noProof/>
            <w:webHidden/>
          </w:rPr>
        </w:r>
        <w:r w:rsidR="00B604C1">
          <w:rPr>
            <w:noProof/>
            <w:webHidden/>
          </w:rPr>
          <w:fldChar w:fldCharType="separate"/>
        </w:r>
        <w:r w:rsidR="00A16B64">
          <w:rPr>
            <w:noProof/>
            <w:webHidden/>
          </w:rPr>
          <w:t>8</w:t>
        </w:r>
        <w:r w:rsidR="00B604C1">
          <w:rPr>
            <w:noProof/>
            <w:webHidden/>
          </w:rPr>
          <w:fldChar w:fldCharType="end"/>
        </w:r>
      </w:hyperlink>
    </w:p>
    <w:p w:rsidR="00B604C1" w:rsidRPr="00970E6D" w:rsidRDefault="00B604C1" w:rsidP="00B604C1">
      <w:pPr>
        <w:tabs>
          <w:tab w:val="clear" w:pos="567"/>
        </w:tabs>
        <w:sectPr w:rsidR="00B604C1" w:rsidRPr="00970E6D" w:rsidSect="0024163B">
          <w:headerReference w:type="first" r:id="rId17"/>
          <w:footerReference w:type="first" r:id="rId18"/>
          <w:pgSz w:w="11899" w:h="16838" w:code="9"/>
          <w:pgMar w:top="1701" w:right="1474" w:bottom="1701" w:left="1474" w:header="709" w:footer="709" w:gutter="0"/>
          <w:pgNumType w:fmt="lowerRoman" w:start="1"/>
          <w:cols w:space="708"/>
          <w:titlePg/>
          <w:docGrid w:linePitch="299"/>
        </w:sectPr>
      </w:pPr>
      <w:r>
        <w:rPr>
          <w:b/>
          <w:bCs/>
          <w:caps/>
          <w:szCs w:val="20"/>
        </w:rPr>
        <w:fldChar w:fldCharType="end"/>
      </w:r>
    </w:p>
    <w:p w:rsidR="00B604C1" w:rsidRPr="00970E6D" w:rsidRDefault="00B604C1" w:rsidP="00BE6B48">
      <w:pPr>
        <w:pStyle w:val="Heading3"/>
        <w:spacing w:before="0"/>
      </w:pPr>
      <w:bookmarkStart w:id="1" w:name="_Toc363572553"/>
      <w:bookmarkStart w:id="2" w:name="_Toc364951108"/>
      <w:bookmarkStart w:id="3" w:name="_Toc365884950"/>
      <w:bookmarkStart w:id="4" w:name="_Toc106707725"/>
      <w:bookmarkStart w:id="5" w:name="_Toc155675935"/>
      <w:bookmarkStart w:id="6" w:name="_Toc174415770"/>
      <w:bookmarkStart w:id="7" w:name="_Toc174415844"/>
      <w:bookmarkStart w:id="8" w:name="_Toc174415935"/>
      <w:bookmarkStart w:id="9" w:name="_Toc174416620"/>
      <w:bookmarkStart w:id="10" w:name="_Toc174416662"/>
      <w:bookmarkStart w:id="11" w:name="_Toc174416675"/>
      <w:r>
        <w:lastRenderedPageBreak/>
        <w:t xml:space="preserve">Executive </w:t>
      </w:r>
      <w:r w:rsidRPr="00970E6D">
        <w:t>SUMMARY</w:t>
      </w:r>
      <w:bookmarkEnd w:id="1"/>
      <w:bookmarkEnd w:id="2"/>
      <w:bookmarkEnd w:id="3"/>
    </w:p>
    <w:tbl>
      <w:tblPr>
        <w:tblW w:w="0" w:type="auto"/>
        <w:tblInd w:w="108" w:type="dxa"/>
        <w:shd w:val="clear" w:color="auto" w:fill="D6E3BC" w:themeFill="accent3" w:themeFillTint="66"/>
        <w:tblLook w:val="04A0" w:firstRow="1" w:lastRow="0" w:firstColumn="1" w:lastColumn="0" w:noHBand="0" w:noVBand="1"/>
      </w:tblPr>
      <w:tblGrid>
        <w:gridCol w:w="8931"/>
      </w:tblGrid>
      <w:tr w:rsidR="00B604C1" w:rsidRPr="00970E6D" w:rsidTr="0024163B">
        <w:tc>
          <w:tcPr>
            <w:tcW w:w="8931" w:type="dxa"/>
            <w:shd w:val="clear" w:color="auto" w:fill="D6E3BC" w:themeFill="accent3" w:themeFillTint="66"/>
          </w:tcPr>
          <w:p w:rsidR="00B604C1" w:rsidRDefault="00B604C1" w:rsidP="0024163B">
            <w:r>
              <w:t>Following receipt of State submissions and consultations with them, the commission has concluded that it intends to retain</w:t>
            </w:r>
            <w:r w:rsidR="0024163B">
              <w:t xml:space="preserve"> the current interpretation of ‘</w:t>
            </w:r>
            <w:r>
              <w:t>the principle of HFE</w:t>
            </w:r>
            <w:r w:rsidR="0024163B">
              <w:t>’</w:t>
            </w:r>
            <w:r>
              <w:t xml:space="preserve"> and the supporting principles used in the 2010 </w:t>
            </w:r>
            <w:r w:rsidR="0024163B">
              <w:t>R</w:t>
            </w:r>
            <w:r>
              <w:t>eview to guide the development of suitable methodology.</w:t>
            </w:r>
          </w:p>
          <w:p w:rsidR="00B604C1" w:rsidRDefault="00853F00" w:rsidP="0024163B">
            <w:pPr>
              <w:tabs>
                <w:tab w:val="clear" w:pos="567"/>
              </w:tabs>
            </w:pPr>
            <w:r>
              <w:t>H</w:t>
            </w:r>
            <w:r w:rsidR="00B604C1">
              <w:t>owever</w:t>
            </w:r>
            <w:r w:rsidR="00144200">
              <w:t>,</w:t>
            </w:r>
            <w:r w:rsidR="00B604C1">
              <w:t xml:space="preserve"> </w:t>
            </w:r>
            <w:r>
              <w:t>it considers</w:t>
            </w:r>
            <w:r w:rsidR="00B604C1">
              <w:t xml:space="preserve"> that within this framework some change is required to adapt the methodology to changing circumstances and to the requirements of the terms of reference. For example</w:t>
            </w:r>
            <w:r w:rsidR="00144200">
              <w:t>,</w:t>
            </w:r>
            <w:r w:rsidR="00B604C1">
              <w:t xml:space="preserve"> it proposes to expand the scope of equalisation to include housing and urban transport </w:t>
            </w:r>
            <w:r w:rsidR="00CF77FD">
              <w:t>public non-financial corporations (PNFCs</w:t>
            </w:r>
            <w:r w:rsidR="00CF77FD">
              <w:rPr>
                <w:rStyle w:val="FootnoteReference"/>
              </w:rPr>
              <w:footnoteReference w:id="1"/>
            </w:r>
            <w:r w:rsidR="00CF77FD">
              <w:t>)</w:t>
            </w:r>
            <w:r w:rsidR="00B604C1">
              <w:t xml:space="preserve">, because they are close in nature to the operation of government departments and such an expansion allows their infrastructure investments to be assessed in the same way as other general government infrastructure investments. </w:t>
            </w:r>
          </w:p>
          <w:p w:rsidR="00853F00" w:rsidRPr="00970E6D" w:rsidRDefault="00B604C1" w:rsidP="00BE6B48">
            <w:pPr>
              <w:tabs>
                <w:tab w:val="clear" w:pos="567"/>
              </w:tabs>
            </w:pPr>
            <w:r>
              <w:t xml:space="preserve">To facilitate discussion of a range of detailed assessment issues, </w:t>
            </w:r>
            <w:r w:rsidR="00BE6B48">
              <w:t>3</w:t>
            </w:r>
            <w:r>
              <w:t xml:space="preserve"> papers containing staff proposals are being released. The commission will consider its position on these issues once consultations with States have concluded in t</w:t>
            </w:r>
            <w:r w:rsidR="00144200">
              <w:t>he</w:t>
            </w:r>
            <w:r>
              <w:t xml:space="preserve"> run up to the preparation of the draft report due in June 2014.</w:t>
            </w:r>
          </w:p>
        </w:tc>
      </w:tr>
    </w:tbl>
    <w:p w:rsidR="00144200" w:rsidRDefault="00144200" w:rsidP="00BE6B48">
      <w:bookmarkStart w:id="12" w:name="_Toc270842255"/>
      <w:bookmarkStart w:id="13" w:name="_Toc270842345"/>
      <w:bookmarkStart w:id="14" w:name="_Toc270842359"/>
      <w:bookmarkStart w:id="15" w:name="_Toc271023400"/>
      <w:bookmarkStart w:id="16" w:name="_Toc271110858"/>
      <w:bookmarkStart w:id="17" w:name="_Toc348689878"/>
      <w:bookmarkStart w:id="18" w:name="_Toc363572554"/>
      <w:bookmarkStart w:id="19" w:name="_Toc364951109"/>
      <w:bookmarkStart w:id="20" w:name="_Toc365884951"/>
    </w:p>
    <w:p w:rsidR="00B604C1" w:rsidRDefault="00B604C1" w:rsidP="00B604C1">
      <w:pPr>
        <w:pStyle w:val="Heading3"/>
        <w:spacing w:before="0"/>
      </w:pPr>
      <w:r>
        <w:t>Introduction</w:t>
      </w:r>
      <w:bookmarkEnd w:id="12"/>
      <w:bookmarkEnd w:id="13"/>
      <w:bookmarkEnd w:id="14"/>
      <w:bookmarkEnd w:id="15"/>
      <w:bookmarkEnd w:id="16"/>
      <w:bookmarkEnd w:id="17"/>
      <w:bookmarkEnd w:id="18"/>
      <w:bookmarkEnd w:id="19"/>
      <w:bookmarkEnd w:id="20"/>
    </w:p>
    <w:p w:rsidR="00B604C1" w:rsidRDefault="00B604C1" w:rsidP="00B604C1">
      <w:pPr>
        <w:pStyle w:val="CGCNumberedPara"/>
        <w:numPr>
          <w:ilvl w:val="1"/>
          <w:numId w:val="3"/>
        </w:numPr>
        <w:tabs>
          <w:tab w:val="clear" w:pos="567"/>
          <w:tab w:val="num" w:pos="1134"/>
        </w:tabs>
      </w:pPr>
      <w:r>
        <w:t xml:space="preserve">This paper sets out what the commission considers it is asked to do </w:t>
      </w:r>
      <w:r w:rsidR="00BE6B48">
        <w:t>in</w:t>
      </w:r>
      <w:r>
        <w:t xml:space="preserve"> the terms of reference for this methodology review and the principles it proposes to use in developing appropriate methodology to respond to those terms of reference.</w:t>
      </w:r>
    </w:p>
    <w:p w:rsidR="00B604C1" w:rsidRPr="003C24A8" w:rsidRDefault="00B604C1" w:rsidP="00B604C1">
      <w:pPr>
        <w:pStyle w:val="CGCNumberedPara"/>
        <w:numPr>
          <w:ilvl w:val="1"/>
          <w:numId w:val="3"/>
        </w:numPr>
        <w:tabs>
          <w:tab w:val="clear" w:pos="567"/>
          <w:tab w:val="num" w:pos="1134"/>
        </w:tabs>
      </w:pPr>
      <w:r w:rsidRPr="003C24A8">
        <w:t xml:space="preserve">The </w:t>
      </w:r>
      <w:r>
        <w:t>paper</w:t>
      </w:r>
      <w:r w:rsidRPr="003C24A8">
        <w:t xml:space="preserve"> </w:t>
      </w:r>
      <w:r w:rsidR="00853F00">
        <w:t>covers</w:t>
      </w:r>
      <w:r w:rsidRPr="003C24A8">
        <w:t>:</w:t>
      </w:r>
    </w:p>
    <w:p w:rsidR="00B604C1" w:rsidRPr="003C24A8" w:rsidRDefault="00B604C1" w:rsidP="00B604C1">
      <w:pPr>
        <w:pStyle w:val="CGCBulletlist"/>
        <w:numPr>
          <w:ilvl w:val="0"/>
          <w:numId w:val="1"/>
        </w:numPr>
        <w:tabs>
          <w:tab w:val="clear" w:pos="927"/>
          <w:tab w:val="left" w:pos="567"/>
        </w:tabs>
        <w:spacing w:line="320" w:lineRule="atLeast"/>
        <w:ind w:left="1134" w:hanging="567"/>
      </w:pPr>
      <w:r w:rsidRPr="003C24A8">
        <w:t>objectives of the GST distribution</w:t>
      </w:r>
      <w:r w:rsidR="00853F00">
        <w:t xml:space="preserve"> and</w:t>
      </w:r>
    </w:p>
    <w:p w:rsidR="00B604C1" w:rsidRDefault="00B604C1" w:rsidP="00B604C1">
      <w:pPr>
        <w:pStyle w:val="CGCBulletlist"/>
        <w:numPr>
          <w:ilvl w:val="0"/>
          <w:numId w:val="1"/>
        </w:numPr>
        <w:tabs>
          <w:tab w:val="clear" w:pos="927"/>
          <w:tab w:val="left" w:pos="567"/>
        </w:tabs>
        <w:spacing w:line="320" w:lineRule="atLeast"/>
        <w:ind w:left="1134" w:hanging="567"/>
      </w:pPr>
      <w:proofErr w:type="gramStart"/>
      <w:r>
        <w:t>supporting</w:t>
      </w:r>
      <w:proofErr w:type="gramEnd"/>
      <w:r>
        <w:t xml:space="preserve"> principles.</w:t>
      </w:r>
    </w:p>
    <w:p w:rsidR="00B604C1" w:rsidRDefault="00B604C1" w:rsidP="00B604C1">
      <w:pPr>
        <w:pStyle w:val="Heading3"/>
      </w:pPr>
      <w:bookmarkStart w:id="21" w:name="_Toc270842261"/>
      <w:bookmarkStart w:id="22" w:name="_Toc270842351"/>
      <w:bookmarkStart w:id="23" w:name="_Toc270842365"/>
      <w:bookmarkStart w:id="24" w:name="_Toc271023407"/>
      <w:bookmarkStart w:id="25" w:name="_Toc271110865"/>
      <w:bookmarkStart w:id="26" w:name="_Toc348689879"/>
      <w:bookmarkStart w:id="27" w:name="_Toc363572555"/>
      <w:bookmarkStart w:id="28" w:name="_Toc364951110"/>
      <w:bookmarkStart w:id="29" w:name="_Toc365884952"/>
      <w:r>
        <w:t>OBJECTIVES</w:t>
      </w:r>
      <w:r w:rsidRPr="00072B04">
        <w:t xml:space="preserve"> </w:t>
      </w:r>
      <w:r>
        <w:t>OF THE GST DISTRIBUTION</w:t>
      </w:r>
      <w:bookmarkEnd w:id="21"/>
      <w:bookmarkEnd w:id="22"/>
      <w:bookmarkEnd w:id="23"/>
      <w:bookmarkEnd w:id="24"/>
      <w:bookmarkEnd w:id="25"/>
      <w:bookmarkEnd w:id="26"/>
      <w:bookmarkEnd w:id="27"/>
      <w:bookmarkEnd w:id="28"/>
      <w:bookmarkEnd w:id="29"/>
    </w:p>
    <w:p w:rsidR="00B604C1" w:rsidRDefault="00B604C1" w:rsidP="00B604C1">
      <w:pPr>
        <w:pStyle w:val="CGCNumberedPara"/>
        <w:numPr>
          <w:ilvl w:val="1"/>
          <w:numId w:val="3"/>
        </w:numPr>
        <w:tabs>
          <w:tab w:val="clear" w:pos="567"/>
          <w:tab w:val="num" w:pos="1134"/>
        </w:tabs>
      </w:pPr>
      <w:r>
        <w:t>For the 2015 Review, the terms of reference (Attachment A) direct the commission to take into account the Intergovernmental Agreement on Federal Financial Relations (IGA)</w:t>
      </w:r>
      <w:r w:rsidR="008C6C1A">
        <w:t>. This</w:t>
      </w:r>
      <w:r>
        <w:t xml:space="preserve"> provides that the GST revenue will be distributed among the States and Territories (</w:t>
      </w:r>
      <w:r w:rsidR="0024163B">
        <w:t>the States) in accordance with ‘</w:t>
      </w:r>
      <w:r>
        <w:t>the principle of horiz</w:t>
      </w:r>
      <w:r w:rsidR="0024163B">
        <w:t>ontal fiscal equalisation (HFE)’</w:t>
      </w:r>
      <w:r>
        <w:t>.</w:t>
      </w:r>
    </w:p>
    <w:p w:rsidR="00126EF6" w:rsidRDefault="00126EF6" w:rsidP="00B604C1">
      <w:pPr>
        <w:pStyle w:val="CGCNumberedPara"/>
        <w:numPr>
          <w:ilvl w:val="1"/>
          <w:numId w:val="3"/>
        </w:numPr>
        <w:tabs>
          <w:tab w:val="clear" w:pos="567"/>
          <w:tab w:val="num" w:pos="1134"/>
        </w:tabs>
      </w:pPr>
      <w:r>
        <w:t>The commission considers that it is appropriate to articulate the ‘principle of HFE’ using the definition it developed in 2010:</w:t>
      </w:r>
    </w:p>
    <w:p w:rsidR="00853F00" w:rsidRPr="007C3A5A" w:rsidRDefault="00853F00" w:rsidP="0043612C">
      <w:pPr>
        <w:pStyle w:val="CGCNumberedPara"/>
        <w:numPr>
          <w:ilvl w:val="0"/>
          <w:numId w:val="0"/>
        </w:numPr>
        <w:spacing w:before="240" w:after="240" w:line="240" w:lineRule="auto"/>
        <w:ind w:left="1418" w:right="1296"/>
        <w:rPr>
          <w:sz w:val="22"/>
          <w:szCs w:val="22"/>
        </w:rPr>
      </w:pPr>
      <w:r w:rsidRPr="007C3A5A">
        <w:rPr>
          <w:sz w:val="22"/>
          <w:szCs w:val="22"/>
        </w:rPr>
        <w:lastRenderedPageBreak/>
        <w:t>State governments should receive funding from the pool of goods and services tax such that, after allowing for material factors affecting revenues and expenditures, each would have the fiscal capacity to provide services and the associated infrastructure at the same standard, if each made the same effort to raise revenue from its own sources and operated at the same level of efficiency.</w:t>
      </w:r>
      <w:bookmarkStart w:id="30" w:name="_GoBack"/>
      <w:bookmarkEnd w:id="30"/>
    </w:p>
    <w:p w:rsidR="0043612C" w:rsidRPr="0043612C" w:rsidRDefault="0043612C" w:rsidP="00A11492">
      <w:pPr>
        <w:pStyle w:val="CGCNumberedPara"/>
        <w:numPr>
          <w:ilvl w:val="1"/>
          <w:numId w:val="3"/>
        </w:numPr>
        <w:tabs>
          <w:tab w:val="clear" w:pos="567"/>
          <w:tab w:val="num" w:pos="1134"/>
        </w:tabs>
      </w:pPr>
      <w:r>
        <w:t>That definition has, with only minor variations, formed the basis for distributing the GST since that tax’s introduction and Financial Assistance Grants before that.</w:t>
      </w:r>
    </w:p>
    <w:p w:rsidR="00B604C1" w:rsidRPr="00833606" w:rsidRDefault="00B604C1" w:rsidP="00A11492">
      <w:pPr>
        <w:pStyle w:val="CGCNumberedPara"/>
        <w:numPr>
          <w:ilvl w:val="1"/>
          <w:numId w:val="3"/>
        </w:numPr>
        <w:tabs>
          <w:tab w:val="clear" w:pos="567"/>
          <w:tab w:val="num" w:pos="1134"/>
        </w:tabs>
      </w:pPr>
      <w:r w:rsidRPr="00833606">
        <w:t>The definition focuses on the main task of the commission</w:t>
      </w:r>
      <w:r w:rsidR="00853F00" w:rsidRPr="00833606">
        <w:t>:</w:t>
      </w:r>
      <w:r w:rsidRPr="00833606">
        <w:t xml:space="preserve"> to identify innate differences (factors) among the States which would cause their fiscal capacities to diverge and </w:t>
      </w:r>
      <w:r w:rsidR="00853F00" w:rsidRPr="00833606">
        <w:t xml:space="preserve">to </w:t>
      </w:r>
      <w:r w:rsidRPr="00833606">
        <w:t xml:space="preserve">recommend a distribution of GST revenue which would remove the impact of that divergence on State </w:t>
      </w:r>
      <w:r w:rsidR="00853F00" w:rsidRPr="00833606">
        <w:t xml:space="preserve">finances. </w:t>
      </w:r>
      <w:r w:rsidR="008202FE" w:rsidRPr="00833606">
        <w:t xml:space="preserve">As a result, </w:t>
      </w:r>
      <w:r w:rsidR="00853F00" w:rsidRPr="00833606">
        <w:t>State</w:t>
      </w:r>
      <w:r w:rsidR="00C428D3" w:rsidRPr="00833606">
        <w:t>s</w:t>
      </w:r>
      <w:r w:rsidR="00853F00" w:rsidRPr="00833606">
        <w:t xml:space="preserve"> </w:t>
      </w:r>
      <w:r w:rsidR="0043612C" w:rsidRPr="00833606">
        <w:t xml:space="preserve">will </w:t>
      </w:r>
      <w:r w:rsidR="00A11492" w:rsidRPr="00833606">
        <w:t xml:space="preserve">have the same capacity to deliver services, provided they deliver them at the average level of technical efficiency </w:t>
      </w:r>
      <w:r w:rsidR="00B4747E" w:rsidRPr="00833606">
        <w:t>and make the same effort to raise revenue.</w:t>
      </w:r>
    </w:p>
    <w:p w:rsidR="00B604C1" w:rsidRPr="00833606" w:rsidRDefault="00B604C1" w:rsidP="00B604C1">
      <w:pPr>
        <w:pStyle w:val="CGCNumberedPara"/>
        <w:numPr>
          <w:ilvl w:val="1"/>
          <w:numId w:val="3"/>
        </w:numPr>
        <w:tabs>
          <w:tab w:val="clear" w:pos="567"/>
          <w:tab w:val="num" w:pos="1134"/>
        </w:tabs>
      </w:pPr>
      <w:r w:rsidRPr="00833606">
        <w:t>If we can reliably measure the impact of a factor which has a material impact on the GST distribution</w:t>
      </w:r>
      <w:r w:rsidR="008B5C3F" w:rsidRPr="00833606">
        <w:t>,</w:t>
      </w:r>
      <w:r w:rsidRPr="00833606">
        <w:t xml:space="preserve"> </w:t>
      </w:r>
      <w:r w:rsidR="008B5C3F" w:rsidRPr="00833606">
        <w:t>we</w:t>
      </w:r>
      <w:r w:rsidRPr="00833606">
        <w:t xml:space="preserve"> include it in our methodology.</w:t>
      </w:r>
      <w:r w:rsidR="008B5C3F" w:rsidRPr="00833606">
        <w:t xml:space="preserve"> Because</w:t>
      </w:r>
      <w:r w:rsidR="008202FE" w:rsidRPr="00833606">
        <w:t xml:space="preserve"> </w:t>
      </w:r>
      <w:r w:rsidR="008B5C3F" w:rsidRPr="00833606">
        <w:t xml:space="preserve">not all factors </w:t>
      </w:r>
      <w:r w:rsidR="00C428D3" w:rsidRPr="00833606">
        <w:t>are included</w:t>
      </w:r>
      <w:r w:rsidR="00F52A1F" w:rsidRPr="00833606">
        <w:t>,</w:t>
      </w:r>
      <w:r w:rsidR="00C428D3" w:rsidRPr="00833606">
        <w:t xml:space="preserve"> either because they cannot be</w:t>
      </w:r>
      <w:r w:rsidR="008B5C3F" w:rsidRPr="00833606">
        <w:t xml:space="preserve"> reliably measured </w:t>
      </w:r>
      <w:r w:rsidR="00C428D3" w:rsidRPr="00833606">
        <w:t>or have an immaterial impact</w:t>
      </w:r>
      <w:r w:rsidR="008B5C3F" w:rsidRPr="00833606">
        <w:t>,</w:t>
      </w:r>
      <w:r w:rsidR="006B1CCA" w:rsidRPr="00833606">
        <w:t xml:space="preserve"> the commission </w:t>
      </w:r>
      <w:r w:rsidRPr="00833606">
        <w:t>does not aim to achieve precise equalisation, but rather proximate (or comparable) equalisation</w:t>
      </w:r>
      <w:r w:rsidR="00144200" w:rsidRPr="00833606">
        <w:t>.</w:t>
      </w:r>
    </w:p>
    <w:p w:rsidR="00B604C1" w:rsidRPr="005E1FCD" w:rsidRDefault="00B604C1" w:rsidP="00B604C1">
      <w:pPr>
        <w:pStyle w:val="CGCNumberedPara"/>
        <w:numPr>
          <w:ilvl w:val="1"/>
          <w:numId w:val="3"/>
        </w:numPr>
        <w:tabs>
          <w:tab w:val="clear" w:pos="567"/>
          <w:tab w:val="num" w:pos="1134"/>
        </w:tabs>
      </w:pPr>
      <w:r>
        <w:t>M</w:t>
      </w:r>
      <w:r w:rsidRPr="005E1FCD">
        <w:t>aterial factors affecting revenue and expen</w:t>
      </w:r>
      <w:r>
        <w:t xml:space="preserve">ditures </w:t>
      </w:r>
      <w:r w:rsidRPr="005E1FCD">
        <w:t xml:space="preserve">means </w:t>
      </w:r>
      <w:r w:rsidR="00144200">
        <w:t>innate differences in State</w:t>
      </w:r>
      <w:r>
        <w:t xml:space="preserve"> circumstances</w:t>
      </w:r>
      <w:r w:rsidRPr="005E1FCD">
        <w:t xml:space="preserve"> that:</w:t>
      </w:r>
    </w:p>
    <w:p w:rsidR="00B604C1" w:rsidRPr="005E1FCD" w:rsidRDefault="00B604C1" w:rsidP="00B604C1">
      <w:pPr>
        <w:pStyle w:val="CGCBulletlist"/>
        <w:numPr>
          <w:ilvl w:val="0"/>
          <w:numId w:val="1"/>
        </w:numPr>
        <w:tabs>
          <w:tab w:val="clear" w:pos="927"/>
          <w:tab w:val="left" w:pos="567"/>
        </w:tabs>
        <w:spacing w:line="320" w:lineRule="atLeast"/>
        <w:ind w:left="1134" w:hanging="567"/>
      </w:pPr>
      <w:r w:rsidRPr="005E1FCD">
        <w:t>give rise to differences in the capacities of States to raise revenue or differences in the cost of providing services or infrastructure</w:t>
      </w:r>
      <w:r>
        <w:t>, over and above any impact of the policies of individual States</w:t>
      </w:r>
    </w:p>
    <w:p w:rsidR="00B604C1" w:rsidRPr="005E1FCD" w:rsidRDefault="00B604C1" w:rsidP="00B604C1">
      <w:pPr>
        <w:pStyle w:val="CGCBulletlist"/>
        <w:numPr>
          <w:ilvl w:val="0"/>
          <w:numId w:val="1"/>
        </w:numPr>
        <w:tabs>
          <w:tab w:val="clear" w:pos="927"/>
          <w:tab w:val="left" w:pos="567"/>
        </w:tabs>
        <w:spacing w:line="320" w:lineRule="atLeast"/>
        <w:ind w:left="1134" w:hanging="567"/>
      </w:pPr>
      <w:r>
        <w:t xml:space="preserve">have an impact on the recommended GST distribution which </w:t>
      </w:r>
      <w:r w:rsidRPr="005E1FCD">
        <w:t>exceed</w:t>
      </w:r>
      <w:r>
        <w:t xml:space="preserve">s </w:t>
      </w:r>
      <w:r w:rsidRPr="005E1FCD">
        <w:t xml:space="preserve">materiality thresholds </w:t>
      </w:r>
    </w:p>
    <w:p w:rsidR="00B604C1" w:rsidRDefault="00B604C1" w:rsidP="00B604C1">
      <w:pPr>
        <w:pStyle w:val="CGCBulletlist"/>
        <w:numPr>
          <w:ilvl w:val="0"/>
          <w:numId w:val="1"/>
        </w:numPr>
        <w:tabs>
          <w:tab w:val="clear" w:pos="927"/>
          <w:tab w:val="left" w:pos="567"/>
        </w:tabs>
        <w:spacing w:line="320" w:lineRule="atLeast"/>
        <w:ind w:left="1134" w:hanging="567"/>
      </w:pPr>
      <w:proofErr w:type="gramStart"/>
      <w:r>
        <w:t>can</w:t>
      </w:r>
      <w:proofErr w:type="gramEnd"/>
      <w:r>
        <w:t xml:space="preserve"> be measured reliably.</w:t>
      </w:r>
    </w:p>
    <w:p w:rsidR="00B604C1" w:rsidRDefault="00B604C1" w:rsidP="00B604C1">
      <w:pPr>
        <w:pStyle w:val="CGCNumberedPara"/>
        <w:numPr>
          <w:ilvl w:val="1"/>
          <w:numId w:val="3"/>
        </w:numPr>
      </w:pPr>
      <w:r>
        <w:t>The factors cover a range of influences on the finances of a State. For example:</w:t>
      </w:r>
    </w:p>
    <w:p w:rsidR="00B604C1" w:rsidRDefault="00B604C1" w:rsidP="00B604C1">
      <w:pPr>
        <w:pStyle w:val="CGCBulletlist"/>
        <w:numPr>
          <w:ilvl w:val="0"/>
          <w:numId w:val="1"/>
        </w:numPr>
        <w:tabs>
          <w:tab w:val="clear" w:pos="927"/>
          <w:tab w:val="left" w:pos="567"/>
        </w:tabs>
        <w:spacing w:line="320" w:lineRule="atLeast"/>
        <w:ind w:left="1134" w:hanging="567"/>
      </w:pPr>
      <w:r>
        <w:t>different demographic profiles can generate differences in what States need to spend to deliver the average service to their residents</w:t>
      </w:r>
    </w:p>
    <w:p w:rsidR="00B604C1" w:rsidRDefault="00B604C1" w:rsidP="00B604C1">
      <w:pPr>
        <w:pStyle w:val="CGCBulletlist"/>
        <w:numPr>
          <w:ilvl w:val="0"/>
          <w:numId w:val="1"/>
        </w:numPr>
        <w:tabs>
          <w:tab w:val="clear" w:pos="927"/>
          <w:tab w:val="left" w:pos="567"/>
        </w:tabs>
        <w:spacing w:line="320" w:lineRule="atLeast"/>
        <w:ind w:left="1134" w:hanging="567"/>
      </w:pPr>
      <w:r>
        <w:t>in some areas the provision of services by the private sector, Commonwealth or local government reduces what States need to spend to deliver the average level of services</w:t>
      </w:r>
      <w:r w:rsidR="004D64A4">
        <w:t>:</w:t>
      </w:r>
    </w:p>
    <w:p w:rsidR="00B604C1" w:rsidRDefault="00B604C1" w:rsidP="00B604C1">
      <w:pPr>
        <w:pStyle w:val="CGCSubbulletlist"/>
        <w:numPr>
          <w:ilvl w:val="0"/>
          <w:numId w:val="4"/>
        </w:numPr>
        <w:tabs>
          <w:tab w:val="clear" w:pos="927"/>
        </w:tabs>
        <w:ind w:left="1701" w:hanging="567"/>
      </w:pPr>
      <w:proofErr w:type="gramStart"/>
      <w:r>
        <w:t>a</w:t>
      </w:r>
      <w:proofErr w:type="gramEnd"/>
      <w:r>
        <w:t xml:space="preserve"> State with an above average level of </w:t>
      </w:r>
      <w:r w:rsidR="0065366D">
        <w:t>non</w:t>
      </w:r>
      <w:r w:rsidR="0065366D">
        <w:noBreakHyphen/>
        <w:t>government</w:t>
      </w:r>
      <w:r>
        <w:t xml:space="preserve"> schooling has a reduced need to provide public education, so that above or below average provision of services in this way can constitute a material factor.</w:t>
      </w:r>
    </w:p>
    <w:p w:rsidR="00B604C1" w:rsidRDefault="00B604C1" w:rsidP="004D64A4">
      <w:pPr>
        <w:pStyle w:val="CGCNumberedPara"/>
      </w:pPr>
      <w:r w:rsidRPr="00D70A1C">
        <w:t xml:space="preserve">The terms of reference make </w:t>
      </w:r>
      <w:r w:rsidR="0043612C">
        <w:t xml:space="preserve">it </w:t>
      </w:r>
      <w:r w:rsidRPr="00D70A1C">
        <w:t xml:space="preserve">clear that financial support from the Commonwealth to States is to be considered by the commission in developing its recommended </w:t>
      </w:r>
      <w:r w:rsidRPr="00D70A1C">
        <w:lastRenderedPageBreak/>
        <w:t>methodology. They provide guidance on how the commission is to approach this task. In general the commission considers that the receipt of Commonwealth payments impacting on States’ fiscal capacities should be treated as another material factor and have an impact on the GST distribution, but there are exceptions. Further detail</w:t>
      </w:r>
      <w:r w:rsidR="0024163B">
        <w:t xml:space="preserve">s on the proposed treatment of </w:t>
      </w:r>
      <w:r w:rsidRPr="00D70A1C">
        <w:t xml:space="preserve">Commonwealth payments are included </w:t>
      </w:r>
      <w:r w:rsidR="004D64A4">
        <w:t xml:space="preserve">in </w:t>
      </w:r>
      <w:r w:rsidRPr="00D70A1C">
        <w:t>the staff paper on generic assessment issues.</w:t>
      </w:r>
    </w:p>
    <w:p w:rsidR="00B604C1" w:rsidRDefault="00B604C1" w:rsidP="00B604C1">
      <w:pPr>
        <w:pStyle w:val="CGCNumberedPara"/>
        <w:numPr>
          <w:ilvl w:val="1"/>
          <w:numId w:val="3"/>
        </w:numPr>
      </w:pPr>
      <w:r>
        <w:t>Some States considered that GST revenue should not be distributed according to the HFE principle, or that the operation of HFE should be limited by other policy objectives, for example raising national productivity. Another State said that the commission should be more pro</w:t>
      </w:r>
      <w:r>
        <w:noBreakHyphen/>
        <w:t>active in the area of tax reform, effectively holding governments to account in relation to reform agreements.</w:t>
      </w:r>
    </w:p>
    <w:p w:rsidR="00B604C1" w:rsidRDefault="00B604C1" w:rsidP="00B604C1">
      <w:pPr>
        <w:pStyle w:val="CGCNumberedPara"/>
        <w:numPr>
          <w:ilvl w:val="1"/>
          <w:numId w:val="3"/>
        </w:numPr>
      </w:pPr>
      <w:r>
        <w:t xml:space="preserve">Some States have asked that the </w:t>
      </w:r>
      <w:r w:rsidR="0024163B">
        <w:t>c</w:t>
      </w:r>
      <w:r>
        <w:t>ommission take into account the intent of other Commonwealth-State financial agreements when developing methods and making decisions which impact on the GST distribution.</w:t>
      </w:r>
    </w:p>
    <w:p w:rsidR="00B604C1" w:rsidRDefault="00B604C1" w:rsidP="00B604C1">
      <w:pPr>
        <w:pStyle w:val="CGCNumberedPara"/>
        <w:numPr>
          <w:ilvl w:val="1"/>
          <w:numId w:val="3"/>
        </w:numPr>
      </w:pPr>
      <w:r>
        <w:t>However</w:t>
      </w:r>
      <w:r w:rsidR="004D64A4">
        <w:t>,</w:t>
      </w:r>
      <w:r>
        <w:t xml:space="preserve"> we consider that our terms of reference are clear: we are to recommend how the GST should be dist</w:t>
      </w:r>
      <w:r w:rsidR="0024163B">
        <w:t>ributed in accordance with the ‘</w:t>
      </w:r>
      <w:r>
        <w:t>princi</w:t>
      </w:r>
      <w:r w:rsidR="0024163B">
        <w:t>ple of HFE’</w:t>
      </w:r>
      <w:r>
        <w:t xml:space="preserve">. We are not asked, nor given the discretion, to decide when other policy objectives or agreements between the Commonwealth and the States should moderate the achievement of HFE, unless explicitly directed in our terms of reference. Nonetheless, in adopting the definition, and in developing its methodology, the commission is conscious of the desirability of minimising any adverse impacts of HFE on the operations of </w:t>
      </w:r>
      <w:r w:rsidR="0024163B">
        <w:t>g</w:t>
      </w:r>
      <w:r>
        <w:t>overnment and the economy generally. For example</w:t>
      </w:r>
      <w:r w:rsidR="0024163B">
        <w:t>,</w:t>
      </w:r>
      <w:r>
        <w:t xml:space="preserve"> we seek to adopt methodology which has the minimum possible impact on </w:t>
      </w:r>
      <w:r w:rsidR="004D64A4">
        <w:t>g</w:t>
      </w:r>
      <w:r>
        <w:t>overnment decision</w:t>
      </w:r>
      <w:r>
        <w:noBreakHyphen/>
        <w:t xml:space="preserve">making. </w:t>
      </w:r>
    </w:p>
    <w:p w:rsidR="00B604C1" w:rsidRDefault="00B604C1" w:rsidP="00B604C1">
      <w:pPr>
        <w:pStyle w:val="Heading3"/>
      </w:pPr>
      <w:bookmarkStart w:id="31" w:name="_Toc365884953"/>
      <w:r>
        <w:t>Supporting principles</w:t>
      </w:r>
      <w:bookmarkEnd w:id="31"/>
    </w:p>
    <w:p w:rsidR="00B604C1" w:rsidRDefault="00B604C1" w:rsidP="00B604C1">
      <w:pPr>
        <w:pStyle w:val="CGCNumberedPara"/>
        <w:numPr>
          <w:ilvl w:val="1"/>
          <w:numId w:val="3"/>
        </w:numPr>
      </w:pPr>
      <w:r>
        <w:t>In making and explaining decisions on the development of methodology to achieve HFE</w:t>
      </w:r>
      <w:r w:rsidR="006B1CCA">
        <w:t>,</w:t>
      </w:r>
      <w:r>
        <w:t xml:space="preserve"> the </w:t>
      </w:r>
      <w:r w:rsidR="004D64A4">
        <w:t>c</w:t>
      </w:r>
      <w:r>
        <w:t xml:space="preserve">ommission has adopted certain supporting principles. They capture the main influences which experience suggests the </w:t>
      </w:r>
      <w:r w:rsidR="0024163B">
        <w:t>c</w:t>
      </w:r>
      <w:r>
        <w:t>ommission has to consider through the course of a review in evaluating alternat</w:t>
      </w:r>
      <w:r w:rsidR="0043612C">
        <w:t>ive</w:t>
      </w:r>
      <w:r>
        <w:t xml:space="preserve"> assessment methods. These principles also provide guidance to the States in preparing their submissions through the consultation process.</w:t>
      </w:r>
    </w:p>
    <w:p w:rsidR="00B604C1" w:rsidRDefault="006B1CCA" w:rsidP="00B604C1">
      <w:pPr>
        <w:pStyle w:val="CGCNumberedPara"/>
        <w:numPr>
          <w:ilvl w:val="1"/>
          <w:numId w:val="3"/>
        </w:numPr>
      </w:pPr>
      <w:r>
        <w:t>Based on our experience</w:t>
      </w:r>
      <w:r w:rsidR="00B604C1">
        <w:t xml:space="preserve"> and the views expressed to us in consultations to date</w:t>
      </w:r>
      <w:r>
        <w:t>,</w:t>
      </w:r>
      <w:r w:rsidR="00B604C1">
        <w:t xml:space="preserve"> we intend to maintain the supporting principles from the 2010 Review, to guid</w:t>
      </w:r>
      <w:r w:rsidR="004D64A4">
        <w:t>e us in the development of post-</w:t>
      </w:r>
      <w:r w:rsidR="00B604C1">
        <w:t>2015 methodology. As such equalisation will be implemented by methods that:</w:t>
      </w:r>
    </w:p>
    <w:p w:rsidR="00B604C1" w:rsidRPr="003F5AD0" w:rsidRDefault="00B604C1" w:rsidP="00B604C1">
      <w:pPr>
        <w:pStyle w:val="CGCBulletlist"/>
        <w:numPr>
          <w:ilvl w:val="0"/>
          <w:numId w:val="1"/>
        </w:numPr>
        <w:tabs>
          <w:tab w:val="clear" w:pos="927"/>
          <w:tab w:val="left" w:pos="567"/>
        </w:tabs>
        <w:spacing w:line="320" w:lineRule="atLeast"/>
        <w:ind w:left="1134" w:hanging="567"/>
      </w:pPr>
      <w:r>
        <w:t>reflect w</w:t>
      </w:r>
      <w:r w:rsidRPr="003F5AD0">
        <w:t>hat States</w:t>
      </w:r>
      <w:r>
        <w:t xml:space="preserve"> collectively do</w:t>
      </w:r>
    </w:p>
    <w:p w:rsidR="00B604C1" w:rsidRPr="003F5AD0" w:rsidRDefault="00B604C1" w:rsidP="00B604C1">
      <w:pPr>
        <w:pStyle w:val="CGCBulletlist"/>
        <w:numPr>
          <w:ilvl w:val="0"/>
          <w:numId w:val="1"/>
        </w:numPr>
        <w:tabs>
          <w:tab w:val="clear" w:pos="927"/>
          <w:tab w:val="left" w:pos="567"/>
        </w:tabs>
        <w:spacing w:line="320" w:lineRule="atLeast"/>
        <w:ind w:left="1134" w:hanging="567"/>
      </w:pPr>
      <w:r>
        <w:t>are p</w:t>
      </w:r>
      <w:r w:rsidRPr="003F5AD0">
        <w:t>olicy neutral</w:t>
      </w:r>
    </w:p>
    <w:p w:rsidR="00B604C1" w:rsidRPr="003F5AD0" w:rsidRDefault="00B604C1" w:rsidP="00B604C1">
      <w:pPr>
        <w:pStyle w:val="CGCBulletlist"/>
        <w:numPr>
          <w:ilvl w:val="0"/>
          <w:numId w:val="1"/>
        </w:numPr>
        <w:tabs>
          <w:tab w:val="clear" w:pos="927"/>
          <w:tab w:val="left" w:pos="567"/>
        </w:tabs>
        <w:spacing w:line="320" w:lineRule="atLeast"/>
        <w:ind w:left="1134" w:hanging="567"/>
      </w:pPr>
      <w:r>
        <w:lastRenderedPageBreak/>
        <w:t>are practical</w:t>
      </w:r>
    </w:p>
    <w:p w:rsidR="00B604C1" w:rsidRDefault="00B604C1" w:rsidP="00B604C1">
      <w:pPr>
        <w:pStyle w:val="CGCBulletlist"/>
        <w:numPr>
          <w:ilvl w:val="0"/>
          <w:numId w:val="1"/>
        </w:numPr>
        <w:tabs>
          <w:tab w:val="clear" w:pos="927"/>
          <w:tab w:val="left" w:pos="567"/>
        </w:tabs>
        <w:spacing w:line="320" w:lineRule="atLeast"/>
        <w:ind w:left="1134" w:hanging="567"/>
      </w:pPr>
      <w:proofErr w:type="gramStart"/>
      <w:r>
        <w:t>deliver</w:t>
      </w:r>
      <w:proofErr w:type="gramEnd"/>
      <w:r>
        <w:t xml:space="preserve"> relativities that </w:t>
      </w:r>
      <w:r w:rsidR="00BD02EB">
        <w:t xml:space="preserve">are </w:t>
      </w:r>
      <w:r>
        <w:t>appropriate to the application year</w:t>
      </w:r>
      <w:r w:rsidRPr="003F5AD0">
        <w:t>.</w:t>
      </w:r>
    </w:p>
    <w:p w:rsidR="00B604C1" w:rsidRDefault="00B604C1" w:rsidP="00B604C1">
      <w:pPr>
        <w:pStyle w:val="CGCNumberedPara"/>
        <w:numPr>
          <w:ilvl w:val="1"/>
          <w:numId w:val="3"/>
        </w:numPr>
      </w:pPr>
      <w:r>
        <w:t>These principles are deliberately expressed in aspirational terms and ideally all methods would embody these attributes. In practi</w:t>
      </w:r>
      <w:r w:rsidR="004D64A4">
        <w:t>c</w:t>
      </w:r>
      <w:r>
        <w:t>e</w:t>
      </w:r>
      <w:r w:rsidR="004D64A4">
        <w:t>,</w:t>
      </w:r>
      <w:r>
        <w:t xml:space="preserve"> the commission often has to evaluate methods which embody mixtures of these principles and has to decide trade</w:t>
      </w:r>
      <w:r>
        <w:noBreakHyphen/>
        <w:t xml:space="preserve">offs among them — for example, between methods that capture what States do in detail and </w:t>
      </w:r>
      <w:r w:rsidR="00A95F05">
        <w:t>methods that are policy neutral</w:t>
      </w:r>
      <w:r>
        <w:t xml:space="preserve">. The commission has not set rules for how it would decide the appropriate approach in any such cases, nor has it established a hierarchy among the principles. As required, judgement will be used to devise the best overall result consistent with the aim of achieving fiscal equalisation. </w:t>
      </w:r>
    </w:p>
    <w:p w:rsidR="00B604C1" w:rsidRPr="003F5AD0" w:rsidRDefault="00B604C1" w:rsidP="00B604C1">
      <w:pPr>
        <w:pStyle w:val="CGCNumberedPara"/>
        <w:numPr>
          <w:ilvl w:val="1"/>
          <w:numId w:val="3"/>
        </w:numPr>
      </w:pPr>
      <w:r>
        <w:t xml:space="preserve">As </w:t>
      </w:r>
      <w:r w:rsidR="006B1CCA">
        <w:t>for</w:t>
      </w:r>
      <w:r>
        <w:t xml:space="preserve"> past commissions</w:t>
      </w:r>
      <w:r w:rsidR="006B1CCA">
        <w:t>,</w:t>
      </w:r>
      <w:r>
        <w:t xml:space="preserve"> we are not convinced that other objectives, such a</w:t>
      </w:r>
      <w:r w:rsidR="004D64A4">
        <w:t>s</w:t>
      </w:r>
      <w:r>
        <w:t xml:space="preserve"> predictability or stability should be added to the list of supporting principles. Our view is that the important principles are included in our approach and other proposed principles would move the GST d</w:t>
      </w:r>
      <w:r w:rsidR="0024163B">
        <w:t>istribution away from what the ‘principle of HFE’</w:t>
      </w:r>
      <w:r>
        <w:t xml:space="preserve"> implies.</w:t>
      </w:r>
    </w:p>
    <w:p w:rsidR="00B604C1" w:rsidRPr="00F56D36" w:rsidRDefault="00B604C1" w:rsidP="00B604C1">
      <w:pPr>
        <w:pStyle w:val="Heading3"/>
      </w:pPr>
      <w:bookmarkStart w:id="32" w:name="_Toc363572567"/>
      <w:bookmarkStart w:id="33" w:name="_Toc364951111"/>
      <w:bookmarkStart w:id="34" w:name="_Toc365884954"/>
      <w:bookmarkStart w:id="35" w:name="_Toc153268115"/>
      <w:r>
        <w:t>What States do</w:t>
      </w:r>
      <w:bookmarkEnd w:id="32"/>
      <w:bookmarkEnd w:id="33"/>
      <w:bookmarkEnd w:id="34"/>
    </w:p>
    <w:p w:rsidR="00B604C1" w:rsidRDefault="00B604C1" w:rsidP="00B604C1">
      <w:pPr>
        <w:pStyle w:val="CGCNumberedPara"/>
        <w:numPr>
          <w:ilvl w:val="1"/>
          <w:numId w:val="3"/>
        </w:numPr>
      </w:pPr>
      <w:r>
        <w:t xml:space="preserve">The GST distribution provides significant financial support to the activities of State </w:t>
      </w:r>
      <w:r w:rsidR="004D64A4">
        <w:t>g</w:t>
      </w:r>
      <w:r>
        <w:t>overnment</w:t>
      </w:r>
      <w:r w:rsidR="004D64A4">
        <w:t>s</w:t>
      </w:r>
      <w:r>
        <w:t xml:space="preserve"> and its relevance is enhanced if it accurately reflects the services the</w:t>
      </w:r>
      <w:r w:rsidR="004D64A4">
        <w:t>y</w:t>
      </w:r>
      <w:r>
        <w:t xml:space="preserve"> provide, the infrastructure they are acquiring and the revenues they raise.</w:t>
      </w:r>
    </w:p>
    <w:p w:rsidR="00B604C1" w:rsidRDefault="00B604C1" w:rsidP="00B604C1">
      <w:pPr>
        <w:pStyle w:val="CGCNumberedPara"/>
        <w:numPr>
          <w:ilvl w:val="1"/>
          <w:numId w:val="3"/>
        </w:numPr>
      </w:pPr>
      <w:r>
        <w:t>To give effect to this</w:t>
      </w:r>
      <w:r w:rsidR="00BD02EB">
        <w:t>:</w:t>
      </w:r>
      <w:r>
        <w:t xml:space="preserve"> </w:t>
      </w:r>
    </w:p>
    <w:p w:rsidR="00B604C1" w:rsidRDefault="00BD02EB" w:rsidP="00B604C1">
      <w:pPr>
        <w:pStyle w:val="CGCBulletlist"/>
        <w:numPr>
          <w:ilvl w:val="0"/>
          <w:numId w:val="1"/>
        </w:numPr>
        <w:tabs>
          <w:tab w:val="clear" w:pos="927"/>
          <w:tab w:val="left" w:pos="567"/>
        </w:tabs>
        <w:spacing w:line="320" w:lineRule="atLeast"/>
        <w:ind w:left="1134" w:hanging="567"/>
      </w:pPr>
      <w:r>
        <w:t xml:space="preserve">our assessments </w:t>
      </w:r>
      <w:r w:rsidR="00B604C1">
        <w:t xml:space="preserve">reflect the range of services provided by State </w:t>
      </w:r>
      <w:r w:rsidR="008B5C3F">
        <w:t xml:space="preserve">general government sectors </w:t>
      </w:r>
      <w:r w:rsidR="00B604C1">
        <w:t>and the range of revenues collect</w:t>
      </w:r>
      <w:r w:rsidR="008B5C3F">
        <w:t>ed</w:t>
      </w:r>
      <w:r w:rsidR="00C428D3">
        <w:t xml:space="preserve"> by them</w:t>
      </w:r>
    </w:p>
    <w:p w:rsidR="00B604C1" w:rsidRDefault="00B604C1" w:rsidP="00B604C1">
      <w:pPr>
        <w:pStyle w:val="CGCBulletlist"/>
        <w:numPr>
          <w:ilvl w:val="0"/>
          <w:numId w:val="1"/>
        </w:numPr>
        <w:tabs>
          <w:tab w:val="clear" w:pos="927"/>
          <w:tab w:val="left" w:pos="567"/>
        </w:tabs>
        <w:spacing w:line="320" w:lineRule="atLeast"/>
        <w:ind w:left="1134" w:hanging="567"/>
      </w:pPr>
      <w:proofErr w:type="gramStart"/>
      <w:r>
        <w:t>the</w:t>
      </w:r>
      <w:proofErr w:type="gramEnd"/>
      <w:r>
        <w:t xml:space="preserve"> level of services and associated infrastructure States are funded to provide, and the revenue raising efforts they are assessed to make, are an average of those actually provided or made</w:t>
      </w:r>
      <w:r w:rsidR="004D64A4">
        <w:t>.</w:t>
      </w:r>
    </w:p>
    <w:p w:rsidR="00B604C1" w:rsidRDefault="00B604C1" w:rsidP="00B604C1">
      <w:pPr>
        <w:pStyle w:val="CGCNumberedPara"/>
        <w:numPr>
          <w:ilvl w:val="1"/>
          <w:numId w:val="3"/>
        </w:numPr>
      </w:pPr>
      <w:r>
        <w:t>I</w:t>
      </w:r>
      <w:r w:rsidRPr="00C44654">
        <w:t xml:space="preserve">n this review we </w:t>
      </w:r>
      <w:r w:rsidR="004C2F70">
        <w:t>are changing</w:t>
      </w:r>
      <w:r w:rsidRPr="00C44654">
        <w:t xml:space="preserve"> our coverage of State activities to include the operation of </w:t>
      </w:r>
      <w:r w:rsidR="0043612C">
        <w:t>PNFC</w:t>
      </w:r>
      <w:r w:rsidRPr="00C44654">
        <w:t>s providing public housing and urban transport. In 2010</w:t>
      </w:r>
      <w:r w:rsidR="004D64A4">
        <w:t>,</w:t>
      </w:r>
      <w:r w:rsidRPr="00C44654">
        <w:t xml:space="preserve"> we treated these </w:t>
      </w:r>
      <w:r w:rsidR="004D64A4">
        <w:t>PNFCs</w:t>
      </w:r>
      <w:r>
        <w:t xml:space="preserve"> as outside the scope of the general government sector</w:t>
      </w:r>
      <w:r w:rsidRPr="00C44654">
        <w:t xml:space="preserve"> and only dealt with subsidies and grants paid to them. We consider that in effect they are akin to Government departments</w:t>
      </w:r>
      <w:r w:rsidR="004C2F70">
        <w:t>, are not commercial enterprises</w:t>
      </w:r>
      <w:r w:rsidRPr="00C44654">
        <w:t xml:space="preserve"> and</w:t>
      </w:r>
      <w:r w:rsidR="004C2F70">
        <w:t>,</w:t>
      </w:r>
      <w:r w:rsidRPr="00C44654">
        <w:t xml:space="preserve"> for HFE purposes</w:t>
      </w:r>
      <w:r w:rsidR="004C2F70">
        <w:t>,</w:t>
      </w:r>
      <w:r w:rsidRPr="00C44654">
        <w:t xml:space="preserve"> their operation should be integrated into our assessments. The prime difference is that their </w:t>
      </w:r>
      <w:r>
        <w:t>infrastructure acquisitions will</w:t>
      </w:r>
      <w:r w:rsidRPr="00C44654">
        <w:t xml:space="preserve"> now </w:t>
      </w:r>
      <w:r>
        <w:t xml:space="preserve">be </w:t>
      </w:r>
      <w:r w:rsidRPr="00C44654">
        <w:t>included in our investment assessment</w:t>
      </w:r>
      <w:r w:rsidR="00C47D7B">
        <w:t xml:space="preserve"> and their depreciation in that assessment</w:t>
      </w:r>
      <w:r w:rsidRPr="00C44654">
        <w:t>.</w:t>
      </w:r>
      <w:r w:rsidR="00C47D7B">
        <w:t xml:space="preserve"> They will no longer be included as part of State net financial worth.</w:t>
      </w:r>
      <w:r w:rsidRPr="00C44654">
        <w:t xml:space="preserve"> </w:t>
      </w:r>
    </w:p>
    <w:p w:rsidR="004C2F70" w:rsidRPr="00833606" w:rsidRDefault="004C2F70" w:rsidP="00B604C1">
      <w:pPr>
        <w:pStyle w:val="CGCNumberedPara"/>
        <w:numPr>
          <w:ilvl w:val="1"/>
          <w:numId w:val="3"/>
        </w:numPr>
      </w:pPr>
      <w:r w:rsidRPr="00833606">
        <w:t>We do not consider that including these activities will add complexity to our assessments. We can adopt standar</w:t>
      </w:r>
      <w:r w:rsidR="0043612C" w:rsidRPr="00833606">
        <w:t>d assessment approaches. Providing</w:t>
      </w:r>
      <w:r w:rsidRPr="00833606">
        <w:t xml:space="preserve"> reliable data </w:t>
      </w:r>
      <w:r w:rsidRPr="00833606">
        <w:lastRenderedPageBreak/>
        <w:t>are available, this will allow us to better and more transparently recognise the different impact on State fiscal capacities of these activities, particularly their capital requirements.</w:t>
      </w:r>
    </w:p>
    <w:p w:rsidR="00B604C1" w:rsidRDefault="00B604C1" w:rsidP="00B604C1">
      <w:pPr>
        <w:pStyle w:val="CGCNumberedPara"/>
        <w:numPr>
          <w:ilvl w:val="1"/>
          <w:numId w:val="3"/>
        </w:numPr>
      </w:pPr>
      <w:r>
        <w:t xml:space="preserve">The principle </w:t>
      </w:r>
      <w:r w:rsidR="00DE2333">
        <w:t xml:space="preserve">of ‘what States do’ </w:t>
      </w:r>
      <w:r>
        <w:t>leads us to use the average of what we observe States to do — an internal standard — as distinct from what they could or should do — an external standard.</w:t>
      </w:r>
      <w:r w:rsidRPr="005B1B17">
        <w:t xml:space="preserve"> </w:t>
      </w:r>
      <w:r>
        <w:t xml:space="preserve">One </w:t>
      </w:r>
      <w:r w:rsidR="004D64A4">
        <w:t>S</w:t>
      </w:r>
      <w:r>
        <w:t xml:space="preserve">tate said that the standard could be based upon minimum standards and minimum efforts, as a way of providing incentives for efficiency in service delivery while still allowing jurisdictions to fund service provision at ‘acceptable’ levels. </w:t>
      </w:r>
    </w:p>
    <w:p w:rsidR="00B604C1" w:rsidRDefault="00B604C1" w:rsidP="00B604C1">
      <w:pPr>
        <w:pStyle w:val="CGCNumberedPara"/>
        <w:numPr>
          <w:ilvl w:val="1"/>
          <w:numId w:val="3"/>
        </w:numPr>
      </w:pPr>
      <w:r>
        <w:t>External standards based on some ‘ideal’ level of services, a desired level of service delivery efficiency or an economically efficient tax policy, have the advantage that they are not affected by the policies of any State. However, they require the commission to make decisions about what constitutes an acceptable or ‘ideal’ level of services, desired level of service delivery</w:t>
      </w:r>
      <w:r w:rsidR="004D64A4">
        <w:t>,</w:t>
      </w:r>
      <w:r>
        <w:t xml:space="preserve"> efficiency or economically efficient tax policies. </w:t>
      </w:r>
    </w:p>
    <w:p w:rsidR="00B604C1" w:rsidRDefault="00B604C1" w:rsidP="00B604C1">
      <w:pPr>
        <w:pStyle w:val="CGCNumberedPara"/>
        <w:numPr>
          <w:ilvl w:val="1"/>
          <w:numId w:val="3"/>
        </w:numPr>
      </w:pPr>
      <w:r>
        <w:t xml:space="preserve">We do not consider it is our role to base our recommendations on any normative view of service delivery or revenue policy. We consider the most </w:t>
      </w:r>
      <w:r w:rsidR="00C47D7B">
        <w:t xml:space="preserve">relevant and </w:t>
      </w:r>
      <w:r>
        <w:t xml:space="preserve">neutral approach is to base our recommendation on the actual average policy of the States as revealed in the data. Only in circumstances where other </w:t>
      </w:r>
      <w:r w:rsidR="00C47D7B">
        <w:t xml:space="preserve">supporting </w:t>
      </w:r>
      <w:r>
        <w:t>principles come into play would we consider an alternat</w:t>
      </w:r>
      <w:r w:rsidR="0043612C">
        <w:t>ive</w:t>
      </w:r>
      <w:r>
        <w:t xml:space="preserve"> approach. (In the case of our roads assessment practical issues mandate making an assessment based on a stylised vie</w:t>
      </w:r>
      <w:r w:rsidR="0043612C">
        <w:t>w of average policy, rather than</w:t>
      </w:r>
      <w:r>
        <w:t xml:space="preserve"> the measured average policy of States).</w:t>
      </w:r>
    </w:p>
    <w:p w:rsidR="00B604C1" w:rsidRDefault="00B604C1" w:rsidP="00B604C1">
      <w:pPr>
        <w:pStyle w:val="CGCNumberedPara"/>
        <w:numPr>
          <w:ilvl w:val="1"/>
          <w:numId w:val="3"/>
        </w:numPr>
      </w:pPr>
      <w:r>
        <w:t>Giving effect to this principle requires the commission to bring together the experiences and pol</w:t>
      </w:r>
      <w:r w:rsidR="0024163B">
        <w:t>icies of States into a view of ‘</w:t>
      </w:r>
      <w:r>
        <w:t>the average State</w:t>
      </w:r>
      <w:r w:rsidR="0024163B">
        <w:t>’</w:t>
      </w:r>
      <w:r>
        <w:t xml:space="preserve"> and then apply those policies to the circumstances of individual States. Doing this raises significant assessment issues, including at what level of detail such an average should be constructed and how the experiences of different States should be weighted in an average.</w:t>
      </w:r>
    </w:p>
    <w:p w:rsidR="00B604C1" w:rsidRDefault="00B604C1" w:rsidP="00B604C1">
      <w:pPr>
        <w:pStyle w:val="CGCNumberedPara"/>
        <w:numPr>
          <w:ilvl w:val="1"/>
          <w:numId w:val="3"/>
        </w:numPr>
      </w:pPr>
      <w:r>
        <w:t>While we consider that much of this is settled methodology which we do not consider warrants reopening</w:t>
      </w:r>
      <w:r w:rsidR="00BD02EB">
        <w:t>,</w:t>
      </w:r>
      <w:r>
        <w:t xml:space="preserve"> some issues are addressed in the accompanying staff paper, including a prop</w:t>
      </w:r>
      <w:r w:rsidR="00C47D7B">
        <w:t>osal to remove some of the judg</w:t>
      </w:r>
      <w:r>
        <w:t xml:space="preserve">ment currently implicit in how average policies are determined. </w:t>
      </w:r>
    </w:p>
    <w:p w:rsidR="00B604C1" w:rsidRPr="00F56D36" w:rsidRDefault="00B604C1" w:rsidP="00B604C1">
      <w:pPr>
        <w:pStyle w:val="Heading3"/>
      </w:pPr>
      <w:bookmarkStart w:id="36" w:name="_Toc363572568"/>
      <w:bookmarkStart w:id="37" w:name="_Toc364951115"/>
      <w:bookmarkStart w:id="38" w:name="_Toc365884955"/>
      <w:r>
        <w:t>Policy neutrality</w:t>
      </w:r>
      <w:bookmarkEnd w:id="36"/>
      <w:bookmarkEnd w:id="37"/>
      <w:bookmarkEnd w:id="38"/>
    </w:p>
    <w:p w:rsidR="00B604C1" w:rsidRDefault="00B604C1" w:rsidP="00B604C1">
      <w:pPr>
        <w:pStyle w:val="CGCNumberedPara"/>
        <w:numPr>
          <w:ilvl w:val="1"/>
          <w:numId w:val="3"/>
        </w:numPr>
      </w:pPr>
      <w:r>
        <w:t>This principle aims to ensure that a State’s own policies or choices, in relation to the services it provides, or the revenues it raises, do not directly influence the level of grants it receives. It also aims to ensure that the GST distribution methodology creates no incentives or disincentives for States to choose one policy over another.</w:t>
      </w:r>
    </w:p>
    <w:p w:rsidR="00B604C1" w:rsidRDefault="00B604C1" w:rsidP="00B604C1">
      <w:pPr>
        <w:pStyle w:val="CGCNumberedPara"/>
        <w:numPr>
          <w:ilvl w:val="1"/>
          <w:numId w:val="3"/>
        </w:numPr>
      </w:pPr>
      <w:r>
        <w:lastRenderedPageBreak/>
        <w:t xml:space="preserve">Because HFE aims to equalise </w:t>
      </w:r>
      <w:r w:rsidR="00C47D7B">
        <w:t xml:space="preserve">the fiscal capacities of </w:t>
      </w:r>
      <w:r>
        <w:t>States</w:t>
      </w:r>
      <w:r w:rsidR="00C47D7B">
        <w:t>,</w:t>
      </w:r>
      <w:r>
        <w:t xml:space="preserve"> it can never be completely policy neutral. What the commission seeks to do, in conjunction with the other principles, </w:t>
      </w:r>
      <w:r w:rsidR="00C47D7B">
        <w:t xml:space="preserve">is </w:t>
      </w:r>
      <w:r>
        <w:t xml:space="preserve">achieve HFE </w:t>
      </w:r>
      <w:r w:rsidR="00BD02EB">
        <w:t xml:space="preserve">in </w:t>
      </w:r>
      <w:r>
        <w:t>such a way that the policies of individual States have the minimum impact on their own GST share and that the commission’s methodology creates the smallest incentives or disincentives impacting on State policy choice.</w:t>
      </w:r>
    </w:p>
    <w:p w:rsidR="00B604C1" w:rsidRDefault="00B604C1" w:rsidP="00B604C1">
      <w:pPr>
        <w:pStyle w:val="CGCNumberedPara"/>
        <w:numPr>
          <w:ilvl w:val="1"/>
          <w:numId w:val="3"/>
        </w:numPr>
      </w:pPr>
      <w:r>
        <w:t>Currently, the commission implements policy neutrality by undertaking assessments on the assumption that each State follows the average</w:t>
      </w:r>
      <w:r w:rsidR="004D64A4">
        <w:t xml:space="preserve"> observed policy of all States </w:t>
      </w:r>
      <w:r>
        <w:t>in delivering services and raising revenue. If a State chooses to adopt a policy that varies from the average, say through a lower tax rate for a specific tax, the direct impact of that choice (lower revenue collections by that State for that tax) is not reflected in its GST distribution. It bears the financial consequences of its actions. Similarly if a State can deliver a service more efficiently, at below average cost, it retains the financial savings.</w:t>
      </w:r>
    </w:p>
    <w:p w:rsidR="007B4D44" w:rsidRPr="00833606" w:rsidRDefault="00B604C1" w:rsidP="00B604C1">
      <w:pPr>
        <w:pStyle w:val="CGCNumberedPara"/>
        <w:numPr>
          <w:ilvl w:val="1"/>
          <w:numId w:val="3"/>
        </w:numPr>
      </w:pPr>
      <w:r w:rsidRPr="00833606">
        <w:t>However</w:t>
      </w:r>
      <w:r w:rsidR="004D64A4" w:rsidRPr="00833606">
        <w:t>,</w:t>
      </w:r>
      <w:r w:rsidRPr="00833606">
        <w:t xml:space="preserve"> the second round consequences of differential policy choice can be re</w:t>
      </w:r>
      <w:r w:rsidR="005A1691" w:rsidRPr="00833606">
        <w:t>flected in the GST distribution.</w:t>
      </w:r>
    </w:p>
    <w:p w:rsidR="00B604C1" w:rsidRPr="00833606" w:rsidRDefault="00B604C1" w:rsidP="00B604C1">
      <w:pPr>
        <w:pStyle w:val="CGCNumberedPara"/>
        <w:numPr>
          <w:ilvl w:val="1"/>
          <w:numId w:val="3"/>
        </w:numPr>
      </w:pPr>
      <w:r w:rsidRPr="00833606">
        <w:t>For example</w:t>
      </w:r>
      <w:r w:rsidR="004D64A4" w:rsidRPr="00833606">
        <w:t>,</w:t>
      </w:r>
      <w:r w:rsidRPr="00833606">
        <w:t xml:space="preserve"> </w:t>
      </w:r>
      <w:r w:rsidR="003246E7" w:rsidRPr="00833606">
        <w:t>because the methodology uses observed tax bases to measure the capacity of a State to raise revenue, the indirect impact of State decisions can affect their GST shares. I</w:t>
      </w:r>
      <w:r w:rsidRPr="00833606">
        <w:t>n the case where a State adopts a lower tax rate than other States, it would be expected that its tax base would be correspondingly increased. However</w:t>
      </w:r>
      <w:r w:rsidR="004D64A4" w:rsidRPr="00833606">
        <w:t>,</w:t>
      </w:r>
      <w:r w:rsidRPr="00833606">
        <w:t xml:space="preserve"> to date, </w:t>
      </w:r>
      <w:r w:rsidR="00C47D7B" w:rsidRPr="00833606">
        <w:t>the</w:t>
      </w:r>
      <w:r w:rsidRPr="00833606">
        <w:t xml:space="preserve"> evidence available suggests that this indirect impact is small </w:t>
      </w:r>
      <w:r w:rsidR="00A95F05" w:rsidRPr="00833606">
        <w:t>and</w:t>
      </w:r>
      <w:r w:rsidRPr="00833606">
        <w:t xml:space="preserve"> in practi</w:t>
      </w:r>
      <w:r w:rsidR="004D64A4" w:rsidRPr="00833606">
        <w:t>c</w:t>
      </w:r>
      <w:r w:rsidRPr="00833606">
        <w:t xml:space="preserve">e there appears </w:t>
      </w:r>
      <w:r w:rsidR="00A95F05" w:rsidRPr="00833606">
        <w:t xml:space="preserve">to be </w:t>
      </w:r>
      <w:r w:rsidRPr="00833606">
        <w:t>no significant indirect impact on policy neutrality.</w:t>
      </w:r>
      <w:r w:rsidR="003246E7" w:rsidRPr="00833606">
        <w:t xml:space="preserve"> In this review, the commission considers it prudent to evaluate assessments to see if such second round impacts are material and, if they are, how they should be recognised, consistent with achieving HFE</w:t>
      </w:r>
      <w:r w:rsidR="00897CDE" w:rsidRPr="00833606">
        <w:t>.</w:t>
      </w:r>
    </w:p>
    <w:p w:rsidR="007B4D44" w:rsidRPr="00833606" w:rsidRDefault="007B4D44" w:rsidP="00C47D7B">
      <w:pPr>
        <w:pStyle w:val="CGCNumberedPara"/>
        <w:numPr>
          <w:ilvl w:val="1"/>
          <w:numId w:val="3"/>
        </w:numPr>
      </w:pPr>
      <w:r w:rsidRPr="00833606">
        <w:t xml:space="preserve">State policy on long term industry support or economic development may also have an impact on State tax bases. </w:t>
      </w:r>
      <w:r w:rsidR="003246E7" w:rsidRPr="00833606">
        <w:t>The attached staff paper provides further discussion of this issue.</w:t>
      </w:r>
    </w:p>
    <w:p w:rsidR="00B604C1" w:rsidRPr="00F56D36" w:rsidRDefault="00B604C1" w:rsidP="00B604C1">
      <w:pPr>
        <w:pStyle w:val="Heading3"/>
      </w:pPr>
      <w:bookmarkStart w:id="39" w:name="_Toc363572569"/>
      <w:bookmarkStart w:id="40" w:name="_Toc364951116"/>
      <w:bookmarkStart w:id="41" w:name="_Toc365884956"/>
      <w:r>
        <w:t>Practicality</w:t>
      </w:r>
      <w:bookmarkEnd w:id="39"/>
      <w:bookmarkEnd w:id="40"/>
      <w:bookmarkEnd w:id="41"/>
    </w:p>
    <w:p w:rsidR="00B604C1" w:rsidRDefault="00B604C1" w:rsidP="00B604C1">
      <w:pPr>
        <w:pStyle w:val="CGCNumberedPara"/>
        <w:numPr>
          <w:ilvl w:val="1"/>
          <w:numId w:val="3"/>
        </w:numPr>
      </w:pPr>
      <w:r>
        <w:t>In developing methodology to achieve HFE the commission seeks to be practical.</w:t>
      </w:r>
    </w:p>
    <w:p w:rsidR="00B604C1" w:rsidRDefault="00B604C1" w:rsidP="00B604C1">
      <w:pPr>
        <w:pStyle w:val="CGCNumberedPara"/>
        <w:numPr>
          <w:ilvl w:val="1"/>
          <w:numId w:val="3"/>
        </w:numPr>
      </w:pPr>
      <w:r>
        <w:t>Assessments should be based on sound and reliable data and methods, be as simple as possible while also reflecting the major influences on State expenses and revenues. It recognises that, while State fiscal capacities are affected by a wide variety of factors, the equalisation outcome may not be improved by including factors when sufficient data are not available to measure their effects or where effects are small.</w:t>
      </w:r>
    </w:p>
    <w:p w:rsidR="00B604C1" w:rsidRDefault="00B604C1" w:rsidP="00B604C1">
      <w:pPr>
        <w:pStyle w:val="CGCNumberedPara"/>
        <w:numPr>
          <w:ilvl w:val="1"/>
          <w:numId w:val="3"/>
        </w:numPr>
      </w:pPr>
      <w:r>
        <w:lastRenderedPageBreak/>
        <w:t>This principle is consistent with the requir</w:t>
      </w:r>
      <w:r w:rsidR="004E66D4">
        <w:t>ement in the terms of reference</w:t>
      </w:r>
      <w:r>
        <w:t xml:space="preserve"> that direct assessments be simple and consistent with the quality and fitness for purpose of the available data.</w:t>
      </w:r>
    </w:p>
    <w:p w:rsidR="00B604C1" w:rsidRDefault="00B604C1" w:rsidP="00B604C1">
      <w:pPr>
        <w:pStyle w:val="CGCNumberedPara"/>
        <w:numPr>
          <w:ilvl w:val="1"/>
          <w:numId w:val="3"/>
        </w:numPr>
      </w:pPr>
      <w:r>
        <w:t>In this review</w:t>
      </w:r>
      <w:r w:rsidR="004E66D4">
        <w:t>,</w:t>
      </w:r>
      <w:r>
        <w:t xml:space="preserve"> we are asked to consider specific practicality issues, such as the appropriate materiality thresholds to adopt and States have raised issues</w:t>
      </w:r>
      <w:r w:rsidR="004E66D4">
        <w:t>,</w:t>
      </w:r>
      <w:r>
        <w:t xml:space="preserve"> for example</w:t>
      </w:r>
      <w:r w:rsidR="004E66D4">
        <w:t>,</w:t>
      </w:r>
      <w:r>
        <w:t xml:space="preserve"> relating to the use of discounting. Proposals for each are covered in the staff paper on generic assessment issues.</w:t>
      </w:r>
    </w:p>
    <w:p w:rsidR="00B604C1" w:rsidRPr="00F56D36" w:rsidRDefault="00B604C1" w:rsidP="00B604C1">
      <w:pPr>
        <w:pStyle w:val="Heading3"/>
      </w:pPr>
      <w:bookmarkStart w:id="42" w:name="_Toc363572570"/>
      <w:bookmarkStart w:id="43" w:name="_Toc364951117"/>
      <w:bookmarkStart w:id="44" w:name="_Toc365884957"/>
      <w:r>
        <w:t>Contemporaneity</w:t>
      </w:r>
      <w:bookmarkEnd w:id="42"/>
      <w:bookmarkEnd w:id="43"/>
      <w:bookmarkEnd w:id="44"/>
    </w:p>
    <w:p w:rsidR="00B604C1" w:rsidRDefault="0024163B" w:rsidP="00B604C1">
      <w:pPr>
        <w:pStyle w:val="CGCNumberedPara"/>
        <w:numPr>
          <w:ilvl w:val="1"/>
          <w:numId w:val="3"/>
        </w:numPr>
      </w:pPr>
      <w:r>
        <w:t>This principle means that</w:t>
      </w:r>
      <w:r w:rsidR="00B604C1">
        <w:t>, as far as possible, the distribution of GS</w:t>
      </w:r>
      <w:r w:rsidR="004D64A4">
        <w:t xml:space="preserve">T provided to States in a year </w:t>
      </w:r>
      <w:r w:rsidR="00B604C1">
        <w:t>should reflect State circumstances in that year. Without that</w:t>
      </w:r>
      <w:r w:rsidR="009107E2">
        <w:t>,</w:t>
      </w:r>
      <w:r w:rsidR="00B604C1">
        <w:t xml:space="preserve"> the </w:t>
      </w:r>
      <w:r w:rsidR="00B604C1" w:rsidRPr="00D70A1C">
        <w:t xml:space="preserve">capacity to provide services and the associated infrastructure at the same standard, if each </w:t>
      </w:r>
      <w:r w:rsidR="00B604C1">
        <w:t xml:space="preserve">State </w:t>
      </w:r>
      <w:r w:rsidR="00B604C1" w:rsidRPr="00D70A1C">
        <w:t>made the same effort to raise revenue from its own sources and operated at the same level of efficiency</w:t>
      </w:r>
      <w:r w:rsidR="00B604C1" w:rsidRPr="00AF0FD0">
        <w:t xml:space="preserve"> </w:t>
      </w:r>
      <w:r w:rsidR="004D64A4">
        <w:t xml:space="preserve">to </w:t>
      </w:r>
      <w:r w:rsidR="00B604C1" w:rsidRPr="00AF0FD0">
        <w:t>deliver services</w:t>
      </w:r>
      <w:r w:rsidR="00BD02EB">
        <w:t>,</w:t>
      </w:r>
      <w:r w:rsidR="00B604C1">
        <w:t xml:space="preserve"> would be compromised.</w:t>
      </w:r>
    </w:p>
    <w:p w:rsidR="00B604C1" w:rsidRDefault="00B604C1" w:rsidP="00B604C1">
      <w:pPr>
        <w:pStyle w:val="CGCNumberedPara"/>
        <w:numPr>
          <w:ilvl w:val="1"/>
          <w:numId w:val="3"/>
        </w:numPr>
      </w:pPr>
      <w:r>
        <w:t>We accept that in developing methodology to give effect to this principle our recommended distribution of GST can change significantly from year to year. But it only does so because revealed State circumstances have changed. We consider that methodology which is responsive to changing circumstances is appropriate.</w:t>
      </w:r>
    </w:p>
    <w:p w:rsidR="00B604C1" w:rsidRDefault="00C47D7B" w:rsidP="00B604C1">
      <w:pPr>
        <w:pStyle w:val="CGCNumberedPara"/>
        <w:numPr>
          <w:ilvl w:val="1"/>
          <w:numId w:val="3"/>
        </w:numPr>
      </w:pPr>
      <w:r>
        <w:t>S</w:t>
      </w:r>
      <w:r w:rsidR="00B604C1">
        <w:t xml:space="preserve">ome approaches to equalisation aim to achieve it over much longer periods of time and are intrinsically more stable. A change in the relative circumstances of a State, say a significant natural disaster or decline in its share of a tax base, would have a more muted impact on its GST distribution. The State would have to cope with the fiscal circumstances of such an event from its own resources, with its GST share only increasing gradually over time. We consider that, in general, the quickest response to such a change in circumstance is most in accord with the </w:t>
      </w:r>
      <w:r w:rsidR="0024163B">
        <w:t>‘</w:t>
      </w:r>
      <w:r w:rsidR="00B604C1">
        <w:t>principle of HFE</w:t>
      </w:r>
      <w:r w:rsidR="0024163B">
        <w:t>’</w:t>
      </w:r>
      <w:r w:rsidR="00B604C1">
        <w:t>.</w:t>
      </w:r>
    </w:p>
    <w:p w:rsidR="00B604C1" w:rsidRPr="00833606" w:rsidRDefault="00B604C1" w:rsidP="00B604C1">
      <w:pPr>
        <w:pStyle w:val="CGCNumberedPara"/>
        <w:numPr>
          <w:ilvl w:val="1"/>
          <w:numId w:val="3"/>
        </w:numPr>
      </w:pPr>
      <w:r w:rsidRPr="00833606">
        <w:t>We consider the current approach of basing assessment</w:t>
      </w:r>
      <w:r w:rsidR="00974FD7" w:rsidRPr="00833606">
        <w:t>s</w:t>
      </w:r>
      <w:r w:rsidRPr="00833606">
        <w:t xml:space="preserve"> on the average observed data for the last three years provides a balance between reflecting conditions likely in the year a recommended GST distribution could be implemented, and practicality concerns such as data reliability and stability.</w:t>
      </w:r>
      <w:r w:rsidR="00897CDE" w:rsidRPr="00833606">
        <w:t xml:space="preserve"> Reflecting the situation of the year in which the recommended GST distribution will apply only in the case of major changes in Commonwealth-State financial relations is consistent with this balanced approach.</w:t>
      </w:r>
    </w:p>
    <w:p w:rsidR="00B604C1" w:rsidRDefault="00B604C1" w:rsidP="00B604C1">
      <w:pPr>
        <w:pStyle w:val="Heading3"/>
      </w:pPr>
      <w:bookmarkStart w:id="45" w:name="_Toc365884958"/>
      <w:r>
        <w:t>Concluding remarks</w:t>
      </w:r>
      <w:bookmarkEnd w:id="45"/>
    </w:p>
    <w:p w:rsidR="00B604C1" w:rsidRDefault="00B604C1" w:rsidP="00B604C1">
      <w:pPr>
        <w:pStyle w:val="CGCNumberedPara"/>
        <w:numPr>
          <w:ilvl w:val="1"/>
          <w:numId w:val="3"/>
        </w:numPr>
        <w:tabs>
          <w:tab w:val="clear" w:pos="567"/>
          <w:tab w:val="num" w:pos="1134"/>
        </w:tabs>
      </w:pPr>
      <w:r>
        <w:t xml:space="preserve">This paper forms part of a set of papers being provided early in the 2015 </w:t>
      </w:r>
      <w:r w:rsidR="004D64A4">
        <w:t>R</w:t>
      </w:r>
      <w:r>
        <w:t>eview to facilitate further engagement with the States and the Commonwealth.</w:t>
      </w:r>
    </w:p>
    <w:p w:rsidR="00B604C1" w:rsidRDefault="00B604C1" w:rsidP="00B604C1">
      <w:pPr>
        <w:pStyle w:val="CGCNumberedPara"/>
        <w:numPr>
          <w:ilvl w:val="1"/>
          <w:numId w:val="3"/>
        </w:numPr>
        <w:tabs>
          <w:tab w:val="clear" w:pos="567"/>
          <w:tab w:val="num" w:pos="1134"/>
        </w:tabs>
      </w:pPr>
      <w:r>
        <w:t xml:space="preserve">This paper has been prepared after the commission has considered State </w:t>
      </w:r>
      <w:r w:rsidR="004D64A4">
        <w:t>s</w:t>
      </w:r>
      <w:r>
        <w:t xml:space="preserve">ubmissions and consulted with Treasurers or Premiers of States. The commission considers the </w:t>
      </w:r>
      <w:r>
        <w:lastRenderedPageBreak/>
        <w:t>main consultation task between now and the preparation of the draft report relates to more detailed implementation issues.</w:t>
      </w:r>
    </w:p>
    <w:p w:rsidR="00CF77FD" w:rsidRDefault="00B604C1" w:rsidP="004E66D4">
      <w:pPr>
        <w:pStyle w:val="CGCNumberedPara"/>
        <w:sectPr w:rsidR="00CF77FD" w:rsidSect="0004123E">
          <w:footerReference w:type="default" r:id="rId19"/>
          <w:footerReference w:type="first" r:id="rId20"/>
          <w:pgSz w:w="11899" w:h="16838" w:code="9"/>
          <w:pgMar w:top="1701" w:right="1474" w:bottom="1701" w:left="1474" w:header="709" w:footer="709" w:gutter="0"/>
          <w:cols w:space="708"/>
          <w:titlePg/>
          <w:docGrid w:linePitch="299"/>
        </w:sectPr>
      </w:pPr>
      <w:r>
        <w:t>To facilitate that discussion</w:t>
      </w:r>
      <w:r w:rsidR="004D64A4">
        <w:t>,</w:t>
      </w:r>
      <w:r>
        <w:t xml:space="preserve"> the commission is releasing </w:t>
      </w:r>
      <w:r w:rsidR="00974FD7">
        <w:t>3</w:t>
      </w:r>
      <w:r w:rsidR="00F14170">
        <w:t xml:space="preserve"> staff papers</w:t>
      </w:r>
      <w:r>
        <w:t xml:space="preserve"> containing </w:t>
      </w:r>
      <w:r w:rsidR="00F14170">
        <w:t>staff</w:t>
      </w:r>
      <w:r>
        <w:t xml:space="preserve"> </w:t>
      </w:r>
      <w:r w:rsidRPr="004E66D4">
        <w:t>proposals</w:t>
      </w:r>
      <w:r>
        <w:t xml:space="preserve"> on more detailed implementation issues. The first deals with a range o</w:t>
      </w:r>
      <w:r w:rsidR="008F3CD6">
        <w:t>f generic implementation issues;</w:t>
      </w:r>
      <w:r>
        <w:t xml:space="preserve"> for example</w:t>
      </w:r>
      <w:r w:rsidR="004D64A4">
        <w:t>,</w:t>
      </w:r>
      <w:r>
        <w:t xml:space="preserve"> </w:t>
      </w:r>
      <w:r w:rsidR="008F3CD6">
        <w:t>how average policy might be determined;</w:t>
      </w:r>
      <w:r w:rsidR="00897CDE">
        <w:t xml:space="preserve"> and</w:t>
      </w:r>
      <w:r>
        <w:t xml:space="preserve"> responses to GST </w:t>
      </w:r>
      <w:r w:rsidR="004D64A4">
        <w:t>D</w:t>
      </w:r>
      <w:r>
        <w:t xml:space="preserve">istribution </w:t>
      </w:r>
      <w:r w:rsidR="004D64A4">
        <w:t>R</w:t>
      </w:r>
      <w:r>
        <w:t>eview recommendations referred to the commission. The second covers proposed assessment approaches for individual areas of State activity</w:t>
      </w:r>
      <w:r w:rsidR="00F14170">
        <w:t xml:space="preserve"> and</w:t>
      </w:r>
      <w:r>
        <w:t xml:space="preserve"> </w:t>
      </w:r>
      <w:r w:rsidR="008F3CD6">
        <w:t>provides responses to the priority issues identified in the terms of reference, such as the appropriate recognition of Indigenous populations</w:t>
      </w:r>
      <w:r>
        <w:t>.</w:t>
      </w:r>
      <w:bookmarkEnd w:id="4"/>
      <w:bookmarkEnd w:id="5"/>
      <w:bookmarkEnd w:id="6"/>
      <w:bookmarkEnd w:id="7"/>
      <w:bookmarkEnd w:id="8"/>
      <w:bookmarkEnd w:id="9"/>
      <w:bookmarkEnd w:id="10"/>
      <w:bookmarkEnd w:id="11"/>
      <w:bookmarkEnd w:id="35"/>
      <w:r w:rsidR="00974FD7">
        <w:t xml:space="preserve"> The third </w:t>
      </w:r>
      <w:r w:rsidR="00DE2333">
        <w:t xml:space="preserve">paper </w:t>
      </w:r>
      <w:r w:rsidR="00974FD7">
        <w:t>provides a draft quality assurance plan in response to the requirement in the terms of reference that the commission ensure it has robust quality assurance processes in place in preparing its assessments.</w:t>
      </w:r>
    </w:p>
    <w:p w:rsidR="00CF77FD" w:rsidRDefault="00CF77FD" w:rsidP="00CF77FD">
      <w:pPr>
        <w:pStyle w:val="Heading2"/>
      </w:pPr>
      <w:r>
        <w:lastRenderedPageBreak/>
        <w:t xml:space="preserve">Attachment </w:t>
      </w:r>
      <w:proofErr w:type="gramStart"/>
      <w:r>
        <w:t>A</w:t>
      </w:r>
      <w:proofErr w:type="gramEnd"/>
      <w:r>
        <w:t xml:space="preserve"> – 2015 Terms of Reference</w:t>
      </w:r>
    </w:p>
    <w:p w:rsidR="00CF77FD" w:rsidRDefault="00CF77FD" w:rsidP="00CF77FD">
      <w:pPr>
        <w:pStyle w:val="Heading2"/>
      </w:pPr>
      <w:r w:rsidRPr="00D20B06">
        <w:rPr>
          <w:noProof/>
          <w:lang w:eastAsia="en-AU"/>
        </w:rPr>
        <w:drawing>
          <wp:inline distT="0" distB="0" distL="0" distR="0" wp14:anchorId="578E2EB4" wp14:editId="04A2973F">
            <wp:extent cx="5674687" cy="750603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3885" cy="7518199"/>
                    </a:xfrm>
                    <a:prstGeom prst="rect">
                      <a:avLst/>
                    </a:prstGeom>
                    <a:noFill/>
                    <a:ln>
                      <a:noFill/>
                    </a:ln>
                  </pic:spPr>
                </pic:pic>
              </a:graphicData>
            </a:graphic>
          </wp:inline>
        </w:drawing>
      </w:r>
    </w:p>
    <w:p w:rsidR="00CF77FD" w:rsidRDefault="00CF77FD" w:rsidP="00CF77FD"/>
    <w:p w:rsidR="00CF77FD" w:rsidRDefault="00CF77FD" w:rsidP="00CF77FD">
      <w:r w:rsidRPr="00A9083F">
        <w:rPr>
          <w:noProof/>
          <w:lang w:eastAsia="en-AU"/>
        </w:rPr>
        <w:drawing>
          <wp:inline distT="0" distB="0" distL="0" distR="0" wp14:anchorId="6C90F5EB" wp14:editId="103734C1">
            <wp:extent cx="5686425" cy="8162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3885" cy="8159279"/>
                    </a:xfrm>
                    <a:prstGeom prst="rect">
                      <a:avLst/>
                    </a:prstGeom>
                    <a:noFill/>
                    <a:ln>
                      <a:noFill/>
                    </a:ln>
                  </pic:spPr>
                </pic:pic>
              </a:graphicData>
            </a:graphic>
          </wp:inline>
        </w:drawing>
      </w:r>
    </w:p>
    <w:p w:rsidR="00CF77FD" w:rsidRDefault="00CF77FD" w:rsidP="00CF77FD">
      <w:pPr>
        <w:sectPr w:rsidR="00CF77FD" w:rsidSect="0043612C">
          <w:footerReference w:type="default" r:id="rId23"/>
          <w:footerReference w:type="first" r:id="rId24"/>
          <w:pgSz w:w="11899" w:h="16838" w:code="9"/>
          <w:pgMar w:top="1701" w:right="1474" w:bottom="1701" w:left="1474" w:header="709" w:footer="709" w:gutter="0"/>
          <w:cols w:space="708"/>
          <w:titlePg/>
          <w:docGrid w:linePitch="299"/>
        </w:sectPr>
      </w:pPr>
    </w:p>
    <w:p w:rsidR="00CF77FD" w:rsidRDefault="00CF77FD" w:rsidP="00CF77FD">
      <w:pPr>
        <w:tabs>
          <w:tab w:val="left" w:pos="7655"/>
        </w:tabs>
      </w:pPr>
      <w:r w:rsidRPr="00A9083F">
        <w:rPr>
          <w:noProof/>
          <w:lang w:eastAsia="en-AU"/>
        </w:rPr>
        <w:lastRenderedPageBreak/>
        <w:drawing>
          <wp:inline distT="0" distB="0" distL="0" distR="0" wp14:anchorId="30EF97AC" wp14:editId="729A66DD">
            <wp:extent cx="5676900" cy="794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3885" cy="7953624"/>
                    </a:xfrm>
                    <a:prstGeom prst="rect">
                      <a:avLst/>
                    </a:prstGeom>
                    <a:noFill/>
                    <a:ln>
                      <a:noFill/>
                    </a:ln>
                  </pic:spPr>
                </pic:pic>
              </a:graphicData>
            </a:graphic>
          </wp:inline>
        </w:drawing>
      </w:r>
    </w:p>
    <w:p w:rsidR="00CF77FD" w:rsidRDefault="00CF77FD" w:rsidP="00CF77FD">
      <w:pPr>
        <w:sectPr w:rsidR="00CF77FD" w:rsidSect="0043612C">
          <w:pgSz w:w="11899" w:h="16838" w:code="9"/>
          <w:pgMar w:top="1701" w:right="1474" w:bottom="1701" w:left="1474" w:header="709" w:footer="709" w:gutter="0"/>
          <w:cols w:space="708"/>
          <w:titlePg/>
          <w:docGrid w:linePitch="299"/>
        </w:sectPr>
      </w:pPr>
    </w:p>
    <w:p w:rsidR="00CF77FD" w:rsidRPr="0094626F" w:rsidRDefault="00CF77FD" w:rsidP="00CF77FD">
      <w:r w:rsidRPr="00A9083F">
        <w:rPr>
          <w:noProof/>
          <w:lang w:eastAsia="en-AU"/>
        </w:rPr>
        <w:lastRenderedPageBreak/>
        <w:drawing>
          <wp:inline distT="0" distB="0" distL="0" distR="0" wp14:anchorId="28693422" wp14:editId="6701BBF7">
            <wp:extent cx="5685771" cy="7439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3885" cy="7436557"/>
                    </a:xfrm>
                    <a:prstGeom prst="rect">
                      <a:avLst/>
                    </a:prstGeom>
                    <a:noFill/>
                    <a:ln>
                      <a:noFill/>
                    </a:ln>
                  </pic:spPr>
                </pic:pic>
              </a:graphicData>
            </a:graphic>
          </wp:inline>
        </w:drawing>
      </w:r>
    </w:p>
    <w:p w:rsidR="00CF77FD" w:rsidRDefault="00CF77FD" w:rsidP="00CF77FD"/>
    <w:p w:rsidR="00F25ABA" w:rsidRDefault="00F25ABA" w:rsidP="00CF77FD">
      <w:pPr>
        <w:pStyle w:val="CGCNumberedPara"/>
        <w:numPr>
          <w:ilvl w:val="0"/>
          <w:numId w:val="0"/>
        </w:numPr>
      </w:pPr>
    </w:p>
    <w:sectPr w:rsidR="00F25ABA" w:rsidSect="0004123E">
      <w:pgSz w:w="11899" w:h="16838" w:code="9"/>
      <w:pgMar w:top="1701" w:right="1474" w:bottom="1701" w:left="1474"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12C" w:rsidRDefault="0043612C">
      <w:r>
        <w:separator/>
      </w:r>
    </w:p>
  </w:endnote>
  <w:endnote w:type="continuationSeparator" w:id="0">
    <w:p w:rsidR="0043612C" w:rsidRDefault="00436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2C" w:rsidRPr="00875C0F" w:rsidRDefault="0043612C" w:rsidP="0024163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2C" w:rsidRPr="00BB6634" w:rsidRDefault="0043612C" w:rsidP="00BB66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996344"/>
      <w:docPartObj>
        <w:docPartGallery w:val="Page Numbers (Bottom of Page)"/>
        <w:docPartUnique/>
      </w:docPartObj>
    </w:sdtPr>
    <w:sdtEndPr/>
    <w:sdtContent>
      <w:p w:rsidR="0043612C" w:rsidRPr="00875C0F" w:rsidRDefault="007C3A5A" w:rsidP="0024163B">
        <w:pPr>
          <w:pStyle w:val="Footer"/>
          <w:jc w:val="right"/>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996348"/>
      <w:docPartObj>
        <w:docPartGallery w:val="Page Numbers (Bottom of Page)"/>
        <w:docPartUnique/>
      </w:docPartObj>
    </w:sdtPr>
    <w:sdtEndPr/>
    <w:sdtContent>
      <w:p w:rsidR="0043612C" w:rsidRPr="00875C0F" w:rsidRDefault="007C3A5A" w:rsidP="0024163B">
        <w:pPr>
          <w:pStyle w:val="Footer"/>
          <w:jc w:val="right"/>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2C" w:rsidRPr="0011178C" w:rsidRDefault="0043612C" w:rsidP="00F25ABA">
    <w:pPr>
      <w:pStyle w:val="Footer"/>
      <w:tabs>
        <w:tab w:val="clear" w:pos="567"/>
        <w:tab w:val="clear" w:pos="4153"/>
        <w:tab w:val="clear" w:pos="8306"/>
        <w:tab w:val="right" w:pos="8931"/>
      </w:tabs>
      <w:jc w:val="right"/>
    </w:pPr>
    <w:r>
      <w:tab/>
    </w:r>
    <w:r>
      <w:fldChar w:fldCharType="begin"/>
    </w:r>
    <w:r>
      <w:instrText xml:space="preserve"> PAGE  \* Arabic  \* MERGEFORMAT </w:instrText>
    </w:r>
    <w:r>
      <w:fldChar w:fldCharType="separate"/>
    </w:r>
    <w:r w:rsidR="007C3A5A">
      <w:rPr>
        <w:noProof/>
      </w:rPr>
      <w:t>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88222766"/>
      <w:docPartObj>
        <w:docPartGallery w:val="Page Numbers (Bottom of Page)"/>
        <w:docPartUnique/>
      </w:docPartObj>
    </w:sdtPr>
    <w:sdtEndPr>
      <w:rPr>
        <w:b w:val="0"/>
      </w:rPr>
    </w:sdtEndPr>
    <w:sdtContent>
      <w:p w:rsidR="0043612C" w:rsidRPr="00E674AF" w:rsidRDefault="0043612C" w:rsidP="00ED14B5">
        <w:pPr>
          <w:pStyle w:val="Footer"/>
          <w:tabs>
            <w:tab w:val="clear" w:pos="567"/>
            <w:tab w:val="clear" w:pos="4153"/>
            <w:tab w:val="clear" w:pos="8306"/>
            <w:tab w:val="right" w:pos="8931"/>
          </w:tabs>
          <w:jc w:val="right"/>
        </w:pPr>
        <w:r>
          <w:fldChar w:fldCharType="begin"/>
        </w:r>
        <w:r>
          <w:instrText xml:space="preserve"> PAGE  \* Arabic  \* MERGEFORMAT </w:instrText>
        </w:r>
        <w:r>
          <w:fldChar w:fldCharType="separate"/>
        </w:r>
        <w:r w:rsidR="007C3A5A">
          <w:rPr>
            <w:noProof/>
          </w:rPr>
          <w:t>2</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2C" w:rsidRPr="0011178C" w:rsidRDefault="0043612C" w:rsidP="0043612C">
    <w:pPr>
      <w:pStyle w:val="Footer"/>
      <w:jc w:val="right"/>
    </w:pPr>
    <w:r w:rsidRPr="00075BD1">
      <w:rPr>
        <w:i/>
      </w:rPr>
      <w:t>Attachment A 2015 Review Terms of Reference</w:t>
    </w:r>
    <w:r>
      <w:t xml:space="preserve"> </w:t>
    </w:r>
    <w:r>
      <w:tab/>
    </w:r>
    <w:r>
      <w:tab/>
    </w:r>
    <w:r>
      <w:fldChar w:fldCharType="begin"/>
    </w:r>
    <w:r>
      <w:instrText xml:space="preserve"> PAGE  \* Arabic  \* MERGEFORMAT </w:instrText>
    </w:r>
    <w:r>
      <w:fldChar w:fldCharType="separate"/>
    </w:r>
    <w:r w:rsidR="007C3A5A">
      <w:rPr>
        <w:noProof/>
      </w:rPr>
      <w:t>11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2C" w:rsidRPr="007E487F" w:rsidRDefault="0043612C" w:rsidP="0043612C">
    <w:pPr>
      <w:pStyle w:val="Footer"/>
      <w:tabs>
        <w:tab w:val="clear" w:pos="567"/>
        <w:tab w:val="clear" w:pos="4153"/>
        <w:tab w:val="clear" w:pos="8306"/>
        <w:tab w:val="right" w:pos="8931"/>
      </w:tabs>
      <w:rPr>
        <w:sz w:val="20"/>
        <w:szCs w:val="20"/>
      </w:rPr>
    </w:pPr>
    <w:r w:rsidRPr="00075BD1">
      <w:rPr>
        <w:i/>
      </w:rPr>
      <w:t>Attachment A 2015 Review Terms of Reference</w:t>
    </w:r>
    <w:r>
      <w:rPr>
        <w:sz w:val="20"/>
        <w:szCs w:val="20"/>
      </w:rPr>
      <w:tab/>
    </w:r>
    <w:r>
      <w:fldChar w:fldCharType="begin"/>
    </w:r>
    <w:r>
      <w:instrText xml:space="preserve"> PAGE   \* MERGEFORMAT </w:instrText>
    </w:r>
    <w:r>
      <w:fldChar w:fldCharType="separate"/>
    </w:r>
    <w:r w:rsidR="007C3A5A">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12C" w:rsidRDefault="0043612C">
      <w:r>
        <w:separator/>
      </w:r>
    </w:p>
  </w:footnote>
  <w:footnote w:type="continuationSeparator" w:id="0">
    <w:p w:rsidR="0043612C" w:rsidRDefault="0043612C">
      <w:r>
        <w:continuationSeparator/>
      </w:r>
    </w:p>
  </w:footnote>
  <w:footnote w:id="1">
    <w:p w:rsidR="0043612C" w:rsidRDefault="0043612C" w:rsidP="00CF77FD">
      <w:pPr>
        <w:pStyle w:val="FootnoteText"/>
      </w:pPr>
      <w:r>
        <w:rPr>
          <w:rStyle w:val="FootnoteReference"/>
        </w:rPr>
        <w:footnoteRef/>
      </w:r>
      <w:r>
        <w:t xml:space="preserve"> </w:t>
      </w:r>
      <w:r>
        <w:tab/>
      </w:r>
      <w:proofErr w:type="gramStart"/>
      <w:r>
        <w:t xml:space="preserve">Also referred to as </w:t>
      </w:r>
      <w:r w:rsidR="00126EF6">
        <w:t>p</w:t>
      </w:r>
      <w:r>
        <w:t>ublic trading enterprises (PTEs).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2C" w:rsidRDefault="004361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12C" w:rsidRDefault="004361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679"/>
    <w:multiLevelType w:val="multilevel"/>
    <w:tmpl w:val="87ECD5DE"/>
    <w:lvl w:ilvl="0">
      <w:start w:val="1"/>
      <w:numFmt w:val="lowerRoman"/>
      <w:lvlText w:val="(%1)"/>
      <w:lvlJc w:val="right"/>
      <w:pPr>
        <w:tabs>
          <w:tab w:val="num" w:pos="1701"/>
        </w:tabs>
        <w:ind w:left="1701"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16C95DEC"/>
    <w:multiLevelType w:val="multilevel"/>
    <w:tmpl w:val="09E854D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1C66C66"/>
    <w:multiLevelType w:val="multilevel"/>
    <w:tmpl w:val="5B74CF8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5">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9CB5609"/>
    <w:multiLevelType w:val="hybridMultilevel"/>
    <w:tmpl w:val="24484DBE"/>
    <w:lvl w:ilvl="0" w:tplc="A1CEF81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D0A6680"/>
    <w:multiLevelType w:val="multilevel"/>
    <w:tmpl w:val="646E338E"/>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FE32354"/>
    <w:multiLevelType w:val="hybridMultilevel"/>
    <w:tmpl w:val="7D6053A6"/>
    <w:lvl w:ilvl="0" w:tplc="5FE44A6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5D124923"/>
    <w:multiLevelType w:val="multilevel"/>
    <w:tmpl w:val="DA6AC07E"/>
    <w:lvl w:ilvl="0">
      <w:start w:val="1"/>
      <w:numFmt w:val="bullet"/>
      <w:lvlText w:val=""/>
      <w:lvlJc w:val="left"/>
      <w:pPr>
        <w:tabs>
          <w:tab w:val="num" w:pos="1627"/>
        </w:tabs>
        <w:ind w:left="1627"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F120A6F"/>
    <w:multiLevelType w:val="multilevel"/>
    <w:tmpl w:val="EC6A24FE"/>
    <w:lvl w:ilvl="0">
      <w:start w:val="1"/>
      <w:numFmt w:val="bullet"/>
      <w:lvlText w:val=""/>
      <w:lvlJc w:val="left"/>
      <w:pPr>
        <w:tabs>
          <w:tab w:val="num" w:pos="927"/>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FE42A7"/>
    <w:multiLevelType w:val="hybridMultilevel"/>
    <w:tmpl w:val="E4B8FB9A"/>
    <w:lvl w:ilvl="0" w:tplc="18EA3C6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9552687"/>
    <w:multiLevelType w:val="multilevel"/>
    <w:tmpl w:val="76E0CFF8"/>
    <w:lvl w:ilvl="0">
      <w:start w:val="1"/>
      <w:numFmt w:val="bullet"/>
      <w:lvlText w:val=""/>
      <w:lvlJc w:val="left"/>
      <w:pPr>
        <w:tabs>
          <w:tab w:val="num" w:pos="1503"/>
        </w:tabs>
        <w:ind w:left="171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D517EA6"/>
    <w:multiLevelType w:val="multilevel"/>
    <w:tmpl w:val="2D22BA72"/>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5">
    <w:nsid w:val="77D62F87"/>
    <w:multiLevelType w:val="hybridMultilevel"/>
    <w:tmpl w:val="E454F9EC"/>
    <w:lvl w:ilvl="0" w:tplc="80F48E56">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5"/>
  </w:num>
  <w:num w:numId="3">
    <w:abstractNumId w:val="1"/>
  </w:num>
  <w:num w:numId="4">
    <w:abstractNumId w:val="15"/>
  </w:num>
  <w:num w:numId="5">
    <w:abstractNumId w:val="15"/>
  </w:num>
  <w:num w:numId="6">
    <w:abstractNumId w:val="4"/>
  </w:num>
  <w:num w:numId="7">
    <w:abstractNumId w:val="4"/>
  </w:num>
  <w:num w:numId="8">
    <w:abstractNumId w:val="4"/>
  </w:num>
  <w:num w:numId="9">
    <w:abstractNumId w:val="4"/>
  </w:num>
  <w:num w:numId="10">
    <w:abstractNumId w:val="14"/>
  </w:num>
  <w:num w:numId="11">
    <w:abstractNumId w:val="5"/>
  </w:num>
  <w:num w:numId="12">
    <w:abstractNumId w:val="1"/>
  </w:num>
  <w:num w:numId="13">
    <w:abstractNumId w:val="15"/>
  </w:num>
  <w:num w:numId="14">
    <w:abstractNumId w:val="4"/>
  </w:num>
  <w:num w:numId="15">
    <w:abstractNumId w:val="4"/>
  </w:num>
  <w:num w:numId="16">
    <w:abstractNumId w:val="4"/>
  </w:num>
  <w:num w:numId="17">
    <w:abstractNumId w:val="4"/>
  </w:num>
  <w:num w:numId="18">
    <w:abstractNumId w:val="0"/>
  </w:num>
  <w:num w:numId="19">
    <w:abstractNumId w:val="9"/>
  </w:num>
  <w:num w:numId="20">
    <w:abstractNumId w:val="10"/>
  </w:num>
  <w:num w:numId="21">
    <w:abstractNumId w:val="2"/>
  </w:num>
  <w:num w:numId="22">
    <w:abstractNumId w:val="7"/>
  </w:num>
  <w:num w:numId="23">
    <w:abstractNumId w:val="13"/>
  </w:num>
  <w:num w:numId="24">
    <w:abstractNumId w:val="3"/>
  </w:num>
  <w:num w:numId="25">
    <w:abstractNumId w:val="11"/>
  </w:num>
  <w:num w:numId="26">
    <w:abstractNumId w:val="1"/>
  </w:num>
  <w:num w:numId="27">
    <w:abstractNumId w:val="8"/>
  </w:num>
  <w:num w:numId="28">
    <w:abstractNumId w:val="12"/>
  </w:num>
  <w:num w:numId="29">
    <w:abstractNumId w:val="6"/>
  </w:num>
  <w:num w:numId="30">
    <w:abstractNumId w:val="5"/>
    <w:lvlOverride w:ilvl="0">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14C"/>
    <w:rsid w:val="00022EA9"/>
    <w:rsid w:val="00024745"/>
    <w:rsid w:val="00032F41"/>
    <w:rsid w:val="0004123E"/>
    <w:rsid w:val="00041748"/>
    <w:rsid w:val="00041E84"/>
    <w:rsid w:val="000424EA"/>
    <w:rsid w:val="00056373"/>
    <w:rsid w:val="000624BB"/>
    <w:rsid w:val="000648E8"/>
    <w:rsid w:val="00093796"/>
    <w:rsid w:val="000A52A1"/>
    <w:rsid w:val="000B10AA"/>
    <w:rsid w:val="000B5C50"/>
    <w:rsid w:val="000B64E3"/>
    <w:rsid w:val="000D1354"/>
    <w:rsid w:val="000E0210"/>
    <w:rsid w:val="000E6AA5"/>
    <w:rsid w:val="000E7F56"/>
    <w:rsid w:val="001039C2"/>
    <w:rsid w:val="00110081"/>
    <w:rsid w:val="0011178C"/>
    <w:rsid w:val="00112CF0"/>
    <w:rsid w:val="001211AB"/>
    <w:rsid w:val="001218B8"/>
    <w:rsid w:val="00124ED1"/>
    <w:rsid w:val="00126EF6"/>
    <w:rsid w:val="00136497"/>
    <w:rsid w:val="00141BD1"/>
    <w:rsid w:val="00144200"/>
    <w:rsid w:val="00147115"/>
    <w:rsid w:val="0016723A"/>
    <w:rsid w:val="00171A05"/>
    <w:rsid w:val="00172F3A"/>
    <w:rsid w:val="001730FD"/>
    <w:rsid w:val="00173798"/>
    <w:rsid w:val="00173BE6"/>
    <w:rsid w:val="00173E72"/>
    <w:rsid w:val="001807C0"/>
    <w:rsid w:val="001811DE"/>
    <w:rsid w:val="00187145"/>
    <w:rsid w:val="001A11FF"/>
    <w:rsid w:val="001B0110"/>
    <w:rsid w:val="001B3048"/>
    <w:rsid w:val="001B696E"/>
    <w:rsid w:val="001B6A56"/>
    <w:rsid w:val="001C469B"/>
    <w:rsid w:val="001C6A71"/>
    <w:rsid w:val="001D638B"/>
    <w:rsid w:val="001D6DFA"/>
    <w:rsid w:val="001E6180"/>
    <w:rsid w:val="001E68FC"/>
    <w:rsid w:val="00204026"/>
    <w:rsid w:val="00212948"/>
    <w:rsid w:val="00217839"/>
    <w:rsid w:val="00225A3B"/>
    <w:rsid w:val="00226093"/>
    <w:rsid w:val="0023329C"/>
    <w:rsid w:val="00236DC0"/>
    <w:rsid w:val="002373A2"/>
    <w:rsid w:val="0024163B"/>
    <w:rsid w:val="00242517"/>
    <w:rsid w:val="0024260B"/>
    <w:rsid w:val="0024401F"/>
    <w:rsid w:val="0024569B"/>
    <w:rsid w:val="00255B5A"/>
    <w:rsid w:val="002602AB"/>
    <w:rsid w:val="002671A2"/>
    <w:rsid w:val="00275B68"/>
    <w:rsid w:val="002845EA"/>
    <w:rsid w:val="00286EBE"/>
    <w:rsid w:val="002907CA"/>
    <w:rsid w:val="00295B70"/>
    <w:rsid w:val="002A2A08"/>
    <w:rsid w:val="002A2D93"/>
    <w:rsid w:val="002A4098"/>
    <w:rsid w:val="002A4E42"/>
    <w:rsid w:val="002A77C3"/>
    <w:rsid w:val="002B10B0"/>
    <w:rsid w:val="002B169C"/>
    <w:rsid w:val="002B6EFD"/>
    <w:rsid w:val="002B6F33"/>
    <w:rsid w:val="002B79F0"/>
    <w:rsid w:val="002C1D9C"/>
    <w:rsid w:val="002C366F"/>
    <w:rsid w:val="002C4CA9"/>
    <w:rsid w:val="002D2270"/>
    <w:rsid w:val="002E25A8"/>
    <w:rsid w:val="002F04DE"/>
    <w:rsid w:val="002F1CD3"/>
    <w:rsid w:val="002F7E68"/>
    <w:rsid w:val="00301D81"/>
    <w:rsid w:val="00307DEF"/>
    <w:rsid w:val="00311D33"/>
    <w:rsid w:val="00313664"/>
    <w:rsid w:val="00314F90"/>
    <w:rsid w:val="003246E7"/>
    <w:rsid w:val="0033102E"/>
    <w:rsid w:val="00331401"/>
    <w:rsid w:val="00335ED1"/>
    <w:rsid w:val="00342A60"/>
    <w:rsid w:val="0034379D"/>
    <w:rsid w:val="0034646D"/>
    <w:rsid w:val="00347BE5"/>
    <w:rsid w:val="003522E0"/>
    <w:rsid w:val="0035267F"/>
    <w:rsid w:val="0035580D"/>
    <w:rsid w:val="003639FB"/>
    <w:rsid w:val="00363BF7"/>
    <w:rsid w:val="00382AE5"/>
    <w:rsid w:val="003929D2"/>
    <w:rsid w:val="00393FA5"/>
    <w:rsid w:val="00397A49"/>
    <w:rsid w:val="003A27BB"/>
    <w:rsid w:val="003B673D"/>
    <w:rsid w:val="003C2577"/>
    <w:rsid w:val="003D3D91"/>
    <w:rsid w:val="003D477A"/>
    <w:rsid w:val="003E6615"/>
    <w:rsid w:val="003E79F9"/>
    <w:rsid w:val="003F12E9"/>
    <w:rsid w:val="003F59F4"/>
    <w:rsid w:val="0040146C"/>
    <w:rsid w:val="00404DCD"/>
    <w:rsid w:val="004077D6"/>
    <w:rsid w:val="004121E7"/>
    <w:rsid w:val="00414E51"/>
    <w:rsid w:val="0042149B"/>
    <w:rsid w:val="00423099"/>
    <w:rsid w:val="00424E79"/>
    <w:rsid w:val="0042661C"/>
    <w:rsid w:val="004274B3"/>
    <w:rsid w:val="0043612C"/>
    <w:rsid w:val="00453264"/>
    <w:rsid w:val="00462B54"/>
    <w:rsid w:val="00472461"/>
    <w:rsid w:val="004809B8"/>
    <w:rsid w:val="004821B9"/>
    <w:rsid w:val="00491D88"/>
    <w:rsid w:val="0049605C"/>
    <w:rsid w:val="004965F7"/>
    <w:rsid w:val="004A7048"/>
    <w:rsid w:val="004B0A0A"/>
    <w:rsid w:val="004B1C4B"/>
    <w:rsid w:val="004B60CB"/>
    <w:rsid w:val="004C1CB5"/>
    <w:rsid w:val="004C2F70"/>
    <w:rsid w:val="004D64A4"/>
    <w:rsid w:val="004E66D4"/>
    <w:rsid w:val="004E769A"/>
    <w:rsid w:val="00500ACD"/>
    <w:rsid w:val="00504061"/>
    <w:rsid w:val="00505BAE"/>
    <w:rsid w:val="00515380"/>
    <w:rsid w:val="00537A77"/>
    <w:rsid w:val="00541A14"/>
    <w:rsid w:val="00542847"/>
    <w:rsid w:val="00543F9C"/>
    <w:rsid w:val="00546D39"/>
    <w:rsid w:val="00550E84"/>
    <w:rsid w:val="00551368"/>
    <w:rsid w:val="005577B0"/>
    <w:rsid w:val="00562084"/>
    <w:rsid w:val="00563865"/>
    <w:rsid w:val="00570EED"/>
    <w:rsid w:val="005716FC"/>
    <w:rsid w:val="00575DEF"/>
    <w:rsid w:val="00583A33"/>
    <w:rsid w:val="005963CC"/>
    <w:rsid w:val="00596E19"/>
    <w:rsid w:val="005A1691"/>
    <w:rsid w:val="005A241E"/>
    <w:rsid w:val="005A6FED"/>
    <w:rsid w:val="005B1BC4"/>
    <w:rsid w:val="005B6894"/>
    <w:rsid w:val="005C13B2"/>
    <w:rsid w:val="005C27E3"/>
    <w:rsid w:val="005C37CB"/>
    <w:rsid w:val="005C459C"/>
    <w:rsid w:val="005D1A9F"/>
    <w:rsid w:val="005D4C9D"/>
    <w:rsid w:val="005D52FA"/>
    <w:rsid w:val="005E266F"/>
    <w:rsid w:val="005E5734"/>
    <w:rsid w:val="005E73CE"/>
    <w:rsid w:val="005F07DC"/>
    <w:rsid w:val="005F64FB"/>
    <w:rsid w:val="0060251E"/>
    <w:rsid w:val="00602DDE"/>
    <w:rsid w:val="00604D55"/>
    <w:rsid w:val="00611737"/>
    <w:rsid w:val="00613D16"/>
    <w:rsid w:val="00614DE8"/>
    <w:rsid w:val="00622FE1"/>
    <w:rsid w:val="00635027"/>
    <w:rsid w:val="00644AC0"/>
    <w:rsid w:val="0065366D"/>
    <w:rsid w:val="006556D9"/>
    <w:rsid w:val="00661C46"/>
    <w:rsid w:val="006652D3"/>
    <w:rsid w:val="00667CF3"/>
    <w:rsid w:val="00677627"/>
    <w:rsid w:val="00677BD5"/>
    <w:rsid w:val="0068025E"/>
    <w:rsid w:val="00693C87"/>
    <w:rsid w:val="006A05C7"/>
    <w:rsid w:val="006A607B"/>
    <w:rsid w:val="006A6E27"/>
    <w:rsid w:val="006A72B0"/>
    <w:rsid w:val="006B1CCA"/>
    <w:rsid w:val="006B3E4D"/>
    <w:rsid w:val="006C52B9"/>
    <w:rsid w:val="006D1DFE"/>
    <w:rsid w:val="006E6BC2"/>
    <w:rsid w:val="006E77BB"/>
    <w:rsid w:val="0070150E"/>
    <w:rsid w:val="00705DB8"/>
    <w:rsid w:val="00713225"/>
    <w:rsid w:val="0072512A"/>
    <w:rsid w:val="00731EE6"/>
    <w:rsid w:val="007355A6"/>
    <w:rsid w:val="00740A71"/>
    <w:rsid w:val="007477C5"/>
    <w:rsid w:val="00747938"/>
    <w:rsid w:val="00765BA8"/>
    <w:rsid w:val="00766007"/>
    <w:rsid w:val="00770A26"/>
    <w:rsid w:val="007A1364"/>
    <w:rsid w:val="007A24A0"/>
    <w:rsid w:val="007A4AB2"/>
    <w:rsid w:val="007A5E68"/>
    <w:rsid w:val="007B1BF7"/>
    <w:rsid w:val="007B4D44"/>
    <w:rsid w:val="007C3A5A"/>
    <w:rsid w:val="007C404B"/>
    <w:rsid w:val="007C4BAE"/>
    <w:rsid w:val="007D1D3B"/>
    <w:rsid w:val="007D5960"/>
    <w:rsid w:val="007E114E"/>
    <w:rsid w:val="007E487F"/>
    <w:rsid w:val="007E4B2D"/>
    <w:rsid w:val="007E71E9"/>
    <w:rsid w:val="007F1D06"/>
    <w:rsid w:val="008010D7"/>
    <w:rsid w:val="00803443"/>
    <w:rsid w:val="0080680D"/>
    <w:rsid w:val="00812C05"/>
    <w:rsid w:val="008162AB"/>
    <w:rsid w:val="008202FE"/>
    <w:rsid w:val="00833606"/>
    <w:rsid w:val="008439EC"/>
    <w:rsid w:val="00843E6F"/>
    <w:rsid w:val="008460E8"/>
    <w:rsid w:val="00846E4A"/>
    <w:rsid w:val="00851FB5"/>
    <w:rsid w:val="00853F00"/>
    <w:rsid w:val="008647DE"/>
    <w:rsid w:val="00864B95"/>
    <w:rsid w:val="008800D3"/>
    <w:rsid w:val="00886CDD"/>
    <w:rsid w:val="0089214D"/>
    <w:rsid w:val="00893C0D"/>
    <w:rsid w:val="00897CDE"/>
    <w:rsid w:val="008A20DA"/>
    <w:rsid w:val="008A72FD"/>
    <w:rsid w:val="008B5C3F"/>
    <w:rsid w:val="008B5C8F"/>
    <w:rsid w:val="008B5F16"/>
    <w:rsid w:val="008B7722"/>
    <w:rsid w:val="008C0E5C"/>
    <w:rsid w:val="008C6C1A"/>
    <w:rsid w:val="008D348B"/>
    <w:rsid w:val="008E2BE4"/>
    <w:rsid w:val="008E6B4E"/>
    <w:rsid w:val="008E7970"/>
    <w:rsid w:val="008E7C34"/>
    <w:rsid w:val="008F0C36"/>
    <w:rsid w:val="008F377B"/>
    <w:rsid w:val="008F3CD6"/>
    <w:rsid w:val="009107E2"/>
    <w:rsid w:val="00915512"/>
    <w:rsid w:val="009240D8"/>
    <w:rsid w:val="009360D7"/>
    <w:rsid w:val="009362C9"/>
    <w:rsid w:val="009462D2"/>
    <w:rsid w:val="009652D5"/>
    <w:rsid w:val="009677F8"/>
    <w:rsid w:val="00971146"/>
    <w:rsid w:val="00972A9A"/>
    <w:rsid w:val="00974FD7"/>
    <w:rsid w:val="00983F68"/>
    <w:rsid w:val="00991675"/>
    <w:rsid w:val="00992008"/>
    <w:rsid w:val="00996409"/>
    <w:rsid w:val="00996D00"/>
    <w:rsid w:val="009A6CF3"/>
    <w:rsid w:val="009D545A"/>
    <w:rsid w:val="009D6D44"/>
    <w:rsid w:val="009E22FA"/>
    <w:rsid w:val="009E4744"/>
    <w:rsid w:val="009E4EC9"/>
    <w:rsid w:val="009E5D5A"/>
    <w:rsid w:val="009F2262"/>
    <w:rsid w:val="009F4ADA"/>
    <w:rsid w:val="009F6A0D"/>
    <w:rsid w:val="00A06586"/>
    <w:rsid w:val="00A07991"/>
    <w:rsid w:val="00A10CDE"/>
    <w:rsid w:val="00A11492"/>
    <w:rsid w:val="00A1680D"/>
    <w:rsid w:val="00A16B64"/>
    <w:rsid w:val="00A23AB0"/>
    <w:rsid w:val="00A266C5"/>
    <w:rsid w:val="00A32E4E"/>
    <w:rsid w:val="00A505DE"/>
    <w:rsid w:val="00A5327C"/>
    <w:rsid w:val="00A5721C"/>
    <w:rsid w:val="00A67913"/>
    <w:rsid w:val="00A81A94"/>
    <w:rsid w:val="00A941FB"/>
    <w:rsid w:val="00A95F05"/>
    <w:rsid w:val="00A9681E"/>
    <w:rsid w:val="00AA007A"/>
    <w:rsid w:val="00AB073E"/>
    <w:rsid w:val="00AB1A13"/>
    <w:rsid w:val="00AB4E9F"/>
    <w:rsid w:val="00AC210F"/>
    <w:rsid w:val="00AC319E"/>
    <w:rsid w:val="00AE3A1E"/>
    <w:rsid w:val="00AE67A0"/>
    <w:rsid w:val="00AE734F"/>
    <w:rsid w:val="00AF2656"/>
    <w:rsid w:val="00AF6110"/>
    <w:rsid w:val="00AF6AC6"/>
    <w:rsid w:val="00B00611"/>
    <w:rsid w:val="00B04354"/>
    <w:rsid w:val="00B2477F"/>
    <w:rsid w:val="00B249FC"/>
    <w:rsid w:val="00B25A75"/>
    <w:rsid w:val="00B317E7"/>
    <w:rsid w:val="00B33A57"/>
    <w:rsid w:val="00B34083"/>
    <w:rsid w:val="00B34E91"/>
    <w:rsid w:val="00B37728"/>
    <w:rsid w:val="00B45C64"/>
    <w:rsid w:val="00B46A32"/>
    <w:rsid w:val="00B46B29"/>
    <w:rsid w:val="00B4747E"/>
    <w:rsid w:val="00B53547"/>
    <w:rsid w:val="00B53597"/>
    <w:rsid w:val="00B55D3E"/>
    <w:rsid w:val="00B604C1"/>
    <w:rsid w:val="00B62590"/>
    <w:rsid w:val="00B6729F"/>
    <w:rsid w:val="00B82627"/>
    <w:rsid w:val="00B90AA7"/>
    <w:rsid w:val="00B931D4"/>
    <w:rsid w:val="00B94335"/>
    <w:rsid w:val="00BA65E5"/>
    <w:rsid w:val="00BB09DF"/>
    <w:rsid w:val="00BB3FC5"/>
    <w:rsid w:val="00BB514C"/>
    <w:rsid w:val="00BB6634"/>
    <w:rsid w:val="00BC2B3B"/>
    <w:rsid w:val="00BC4579"/>
    <w:rsid w:val="00BD02EB"/>
    <w:rsid w:val="00BD3D24"/>
    <w:rsid w:val="00BE6B48"/>
    <w:rsid w:val="00C0018A"/>
    <w:rsid w:val="00C00905"/>
    <w:rsid w:val="00C035B5"/>
    <w:rsid w:val="00C11ABD"/>
    <w:rsid w:val="00C14FB2"/>
    <w:rsid w:val="00C222F7"/>
    <w:rsid w:val="00C24839"/>
    <w:rsid w:val="00C27C23"/>
    <w:rsid w:val="00C41C84"/>
    <w:rsid w:val="00C428D3"/>
    <w:rsid w:val="00C47D7B"/>
    <w:rsid w:val="00C554D4"/>
    <w:rsid w:val="00C61B02"/>
    <w:rsid w:val="00C72165"/>
    <w:rsid w:val="00C83041"/>
    <w:rsid w:val="00C90B42"/>
    <w:rsid w:val="00C9475D"/>
    <w:rsid w:val="00C95056"/>
    <w:rsid w:val="00C951FD"/>
    <w:rsid w:val="00CA7F28"/>
    <w:rsid w:val="00CB0768"/>
    <w:rsid w:val="00CB131F"/>
    <w:rsid w:val="00CB4DCD"/>
    <w:rsid w:val="00CB4F2D"/>
    <w:rsid w:val="00CC1690"/>
    <w:rsid w:val="00CC665A"/>
    <w:rsid w:val="00CE34DC"/>
    <w:rsid w:val="00CF77FD"/>
    <w:rsid w:val="00D07FB4"/>
    <w:rsid w:val="00D21FA8"/>
    <w:rsid w:val="00D236B7"/>
    <w:rsid w:val="00D23E48"/>
    <w:rsid w:val="00D43096"/>
    <w:rsid w:val="00D46AB2"/>
    <w:rsid w:val="00D656EB"/>
    <w:rsid w:val="00D771FD"/>
    <w:rsid w:val="00D7796D"/>
    <w:rsid w:val="00D81B18"/>
    <w:rsid w:val="00D83541"/>
    <w:rsid w:val="00D93A16"/>
    <w:rsid w:val="00D9496D"/>
    <w:rsid w:val="00DA0768"/>
    <w:rsid w:val="00DA161A"/>
    <w:rsid w:val="00DB2355"/>
    <w:rsid w:val="00DB3BB4"/>
    <w:rsid w:val="00DC0F8D"/>
    <w:rsid w:val="00DC2284"/>
    <w:rsid w:val="00DC3CA4"/>
    <w:rsid w:val="00DE2333"/>
    <w:rsid w:val="00DE4578"/>
    <w:rsid w:val="00DF04EE"/>
    <w:rsid w:val="00DF3E35"/>
    <w:rsid w:val="00E03ED5"/>
    <w:rsid w:val="00E06243"/>
    <w:rsid w:val="00E1688C"/>
    <w:rsid w:val="00E22665"/>
    <w:rsid w:val="00E30499"/>
    <w:rsid w:val="00E30B51"/>
    <w:rsid w:val="00E324BB"/>
    <w:rsid w:val="00E377E8"/>
    <w:rsid w:val="00E43464"/>
    <w:rsid w:val="00E47A69"/>
    <w:rsid w:val="00E571BB"/>
    <w:rsid w:val="00E674AF"/>
    <w:rsid w:val="00E74435"/>
    <w:rsid w:val="00E758AD"/>
    <w:rsid w:val="00E77D4E"/>
    <w:rsid w:val="00E91860"/>
    <w:rsid w:val="00E954B7"/>
    <w:rsid w:val="00E96FDB"/>
    <w:rsid w:val="00EA107B"/>
    <w:rsid w:val="00EC16F1"/>
    <w:rsid w:val="00ED05D6"/>
    <w:rsid w:val="00ED0C6F"/>
    <w:rsid w:val="00ED14B5"/>
    <w:rsid w:val="00ED2FCC"/>
    <w:rsid w:val="00EE5F75"/>
    <w:rsid w:val="00EF2722"/>
    <w:rsid w:val="00EF6805"/>
    <w:rsid w:val="00F00508"/>
    <w:rsid w:val="00F042DC"/>
    <w:rsid w:val="00F105EA"/>
    <w:rsid w:val="00F11117"/>
    <w:rsid w:val="00F13B23"/>
    <w:rsid w:val="00F14170"/>
    <w:rsid w:val="00F22035"/>
    <w:rsid w:val="00F22D18"/>
    <w:rsid w:val="00F25ABA"/>
    <w:rsid w:val="00F46927"/>
    <w:rsid w:val="00F52A1F"/>
    <w:rsid w:val="00F55854"/>
    <w:rsid w:val="00F72C93"/>
    <w:rsid w:val="00F823F5"/>
    <w:rsid w:val="00F90E08"/>
    <w:rsid w:val="00F9170D"/>
    <w:rsid w:val="00F9494C"/>
    <w:rsid w:val="00FA15C8"/>
    <w:rsid w:val="00FA2D86"/>
    <w:rsid w:val="00FA348C"/>
    <w:rsid w:val="00FB0AD8"/>
    <w:rsid w:val="00FE2C17"/>
    <w:rsid w:val="00FF072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footer" w:uiPriority="99"/>
    <w:lsdException w:name="caption" w:uiPriority="35" w:qFormat="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317E7"/>
    <w:pPr>
      <w:tabs>
        <w:tab w:val="left" w:pos="567"/>
      </w:tabs>
      <w:spacing w:after="80" w:line="320" w:lineRule="atLeast"/>
    </w:pPr>
    <w:rPr>
      <w:sz w:val="24"/>
      <w:szCs w:val="24"/>
    </w:rPr>
  </w:style>
  <w:style w:type="paragraph" w:styleId="Heading1">
    <w:name w:val="heading 1"/>
    <w:basedOn w:val="Normal"/>
    <w:next w:val="Heading2"/>
    <w:link w:val="Heading1Char"/>
    <w:qFormat/>
    <w:rsid w:val="00F9170D"/>
    <w:pPr>
      <w:keepNext/>
      <w:pBdr>
        <w:bottom w:val="single" w:sz="6" w:space="1" w:color="auto"/>
      </w:pBdr>
      <w:tabs>
        <w:tab w:val="clear" w:pos="567"/>
      </w:tabs>
      <w:spacing w:before="2400" w:after="200" w:line="240" w:lineRule="auto"/>
      <w:outlineLvl w:val="0"/>
    </w:pPr>
    <w:rPr>
      <w:rFonts w:cs="Arial"/>
      <w:b/>
      <w:bCs/>
      <w:caps/>
      <w:sz w:val="40"/>
      <w:szCs w:val="32"/>
    </w:rPr>
  </w:style>
  <w:style w:type="paragraph" w:styleId="Heading2">
    <w:name w:val="heading 2"/>
    <w:basedOn w:val="Normal"/>
    <w:next w:val="Heading3"/>
    <w:link w:val="Heading2Char"/>
    <w:qFormat/>
    <w:rsid w:val="003A27BB"/>
    <w:pPr>
      <w:keepNext/>
      <w:tabs>
        <w:tab w:val="clear" w:pos="567"/>
      </w:tabs>
      <w:spacing w:after="720" w:line="240" w:lineRule="auto"/>
      <w:outlineLvl w:val="1"/>
    </w:pPr>
    <w:rPr>
      <w:b/>
      <w:caps/>
      <w:color w:val="808080" w:themeColor="background1" w:themeShade="80"/>
      <w:sz w:val="40"/>
      <w:szCs w:val="40"/>
    </w:rPr>
  </w:style>
  <w:style w:type="paragraph" w:styleId="Heading3">
    <w:name w:val="heading 3"/>
    <w:basedOn w:val="Normal"/>
    <w:next w:val="Heading4"/>
    <w:link w:val="Heading3Char"/>
    <w:qFormat/>
    <w:rsid w:val="00AE67A0"/>
    <w:pPr>
      <w:keepNext/>
      <w:tabs>
        <w:tab w:val="clear" w:pos="567"/>
      </w:tabs>
      <w:spacing w:before="600" w:after="200" w:line="240" w:lineRule="auto"/>
      <w:outlineLvl w:val="2"/>
    </w:pPr>
    <w:rPr>
      <w:b/>
      <w:caps/>
      <w:szCs w:val="20"/>
    </w:rPr>
  </w:style>
  <w:style w:type="paragraph" w:styleId="Heading4">
    <w:name w:val="heading 4"/>
    <w:basedOn w:val="Normal"/>
    <w:next w:val="CGCNumberedPara"/>
    <w:link w:val="Heading4Char"/>
    <w:qFormat/>
    <w:rsid w:val="00F9170D"/>
    <w:pPr>
      <w:keepNext/>
      <w:tabs>
        <w:tab w:val="clear" w:pos="567"/>
      </w:tabs>
      <w:spacing w:before="300" w:after="40" w:line="240" w:lineRule="auto"/>
      <w:outlineLvl w:val="3"/>
    </w:pPr>
    <w:rPr>
      <w:b/>
      <w:szCs w:val="20"/>
    </w:rPr>
  </w:style>
  <w:style w:type="paragraph" w:styleId="Heading5">
    <w:name w:val="heading 5"/>
    <w:basedOn w:val="Normal"/>
    <w:next w:val="CGCNumberedPara"/>
    <w:link w:val="Heading5Char"/>
    <w:qFormat/>
    <w:rsid w:val="003A27BB"/>
    <w:pPr>
      <w:keepNext/>
      <w:tabs>
        <w:tab w:val="clear" w:pos="567"/>
      </w:tabs>
      <w:spacing w:before="180" w:after="40" w:line="240" w:lineRule="auto"/>
      <w:outlineLvl w:val="4"/>
    </w:pPr>
    <w:rPr>
      <w:b/>
      <w:szCs w:val="20"/>
    </w:rPr>
  </w:style>
  <w:style w:type="paragraph" w:styleId="Heading6">
    <w:name w:val="heading 6"/>
    <w:aliases w:val="(Not In Use), Section heading"/>
    <w:basedOn w:val="Normal"/>
    <w:next w:val="Heading2"/>
    <w:semiHidden/>
    <w:rsid w:val="00765BA8"/>
    <w:pPr>
      <w:keepNext/>
      <w:numPr>
        <w:ilvl w:val="5"/>
        <w:numId w:val="17"/>
      </w:numPr>
      <w:spacing w:before="300" w:after="40" w:line="240" w:lineRule="auto"/>
      <w:outlineLvl w:val="5"/>
    </w:pPr>
    <w:rPr>
      <w:b/>
      <w:iCs/>
      <w:szCs w:val="20"/>
    </w:rPr>
  </w:style>
  <w:style w:type="paragraph" w:styleId="Heading7">
    <w:name w:val="heading 7"/>
    <w:aliases w:val="(Do Not Use),top section heading,(TopSection)"/>
    <w:basedOn w:val="Normal"/>
    <w:next w:val="Heading2"/>
    <w:semiHidden/>
    <w:rsid w:val="00765BA8"/>
    <w:pPr>
      <w:keepNext/>
      <w:numPr>
        <w:ilvl w:val="6"/>
        <w:numId w:val="17"/>
      </w:numPr>
      <w:spacing w:after="40" w:line="240" w:lineRule="auto"/>
      <w:outlineLvl w:val="6"/>
    </w:pPr>
    <w:rPr>
      <w:b/>
      <w:iCs/>
      <w:szCs w:val="20"/>
    </w:rPr>
  </w:style>
  <w:style w:type="paragraph" w:styleId="Heading8">
    <w:name w:val="heading 8"/>
    <w:aliases w:val="(Do not use),(Sub-section Nos)"/>
    <w:basedOn w:val="Normal"/>
    <w:next w:val="Normal"/>
    <w:semiHidden/>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765BA8"/>
    <w:rPr>
      <w:rFonts w:ascii="Tahoma" w:hAnsi="Tahoma" w:cs="Tahoma"/>
      <w:sz w:val="16"/>
      <w:szCs w:val="16"/>
    </w:rPr>
  </w:style>
  <w:style w:type="paragraph" w:styleId="Caption">
    <w:name w:val="caption"/>
    <w:basedOn w:val="Normal"/>
    <w:next w:val="Normal"/>
    <w:link w:val="CaptionChar"/>
    <w:uiPriority w:val="35"/>
    <w:qFormat/>
    <w:rsid w:val="00F9170D"/>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Char"/>
    <w:qFormat/>
    <w:rsid w:val="00B317E7"/>
    <w:pPr>
      <w:numPr>
        <w:numId w:val="10"/>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BB3FC5"/>
    <w:pPr>
      <w:numPr>
        <w:numId w:val="11"/>
      </w:numPr>
      <w:tabs>
        <w:tab w:val="clear" w:pos="567"/>
      </w:tabs>
      <w:spacing w:line="300" w:lineRule="atLeast"/>
      <w:ind w:left="2268" w:hanging="567"/>
    </w:pPr>
    <w:rPr>
      <w:szCs w:val="20"/>
    </w:rPr>
  </w:style>
  <w:style w:type="paragraph" w:customStyle="1" w:styleId="CGCNumberedPara">
    <w:name w:val="CGC Numbered Para"/>
    <w:aliases w:val="CGC Para No"/>
    <w:basedOn w:val="Normal"/>
    <w:link w:val="CGCParaNoChar"/>
    <w:qFormat/>
    <w:rsid w:val="00F9170D"/>
    <w:pPr>
      <w:numPr>
        <w:ilvl w:val="1"/>
        <w:numId w:val="26"/>
      </w:numPr>
      <w:spacing w:before="120"/>
    </w:pPr>
  </w:style>
  <w:style w:type="paragraph" w:customStyle="1" w:styleId="CGCQuotation">
    <w:name w:val="CGC Quotation"/>
    <w:basedOn w:val="Normal"/>
    <w:next w:val="CGCNumberedPara"/>
    <w:rsid w:val="003A27BB"/>
    <w:pPr>
      <w:tabs>
        <w:tab w:val="clear" w:pos="567"/>
      </w:tabs>
      <w:spacing w:before="120" w:after="120" w:line="240" w:lineRule="auto"/>
      <w:ind w:left="1134" w:right="1134"/>
    </w:pPr>
    <w:rPr>
      <w:sz w:val="22"/>
    </w:rPr>
  </w:style>
  <w:style w:type="paragraph" w:customStyle="1" w:styleId="CGCSubbulletlist">
    <w:name w:val="CGC Sub bullet list"/>
    <w:aliases w:val="CGC List 2"/>
    <w:basedOn w:val="Normal"/>
    <w:link w:val="CGCSubbulletlistChar"/>
    <w:qFormat/>
    <w:rsid w:val="00B317E7"/>
    <w:pPr>
      <w:numPr>
        <w:numId w:val="13"/>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172F3A"/>
    <w:pPr>
      <w:numPr>
        <w:numId w:val="19"/>
      </w:numPr>
      <w:ind w:right="1134"/>
    </w:pPr>
    <w:rPr>
      <w:sz w:val="22"/>
    </w:rPr>
  </w:style>
  <w:style w:type="paragraph" w:customStyle="1" w:styleId="CGCTableFootnote">
    <w:name w:val="CGC Table Footnote"/>
    <w:basedOn w:val="CGCNumberedPara"/>
    <w:next w:val="NoSpacing"/>
    <w:qFormat/>
    <w:rsid w:val="00172F3A"/>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C035B5"/>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TableRowNormal"/>
    <w:qFormat/>
    <w:rsid w:val="00F9170D"/>
    <w:pPr>
      <w:tabs>
        <w:tab w:val="clear" w:pos="475"/>
        <w:tab w:val="clear" w:pos="1440"/>
        <w:tab w:val="clear" w:pos="2160"/>
        <w:tab w:val="clear" w:pos="2880"/>
        <w:tab w:val="left" w:pos="284"/>
      </w:tabs>
      <w:ind w:left="0" w:firstLine="0"/>
      <w:jc w:val="left"/>
    </w:p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rsid w:val="00765BA8"/>
    <w:pPr>
      <w:tabs>
        <w:tab w:val="center" w:pos="4153"/>
        <w:tab w:val="right" w:pos="8306"/>
      </w:tabs>
    </w:pPr>
  </w:style>
  <w:style w:type="character" w:styleId="FootnoteReference">
    <w:name w:val="footnote reference"/>
    <w:basedOn w:val="DefaultParagraphFont"/>
    <w:rsid w:val="00765BA8"/>
    <w:rPr>
      <w:vertAlign w:val="superscript"/>
    </w:rPr>
  </w:style>
  <w:style w:type="paragraph" w:styleId="FootnoteText">
    <w:name w:val="footnote text"/>
    <w:basedOn w:val="Normal"/>
    <w:link w:val="FootnoteTextChar"/>
    <w:rsid w:val="00765BA8"/>
    <w:pPr>
      <w:spacing w:after="0" w:line="240" w:lineRule="auto"/>
      <w:ind w:left="567" w:hanging="567"/>
    </w:pPr>
    <w:rPr>
      <w:sz w:val="20"/>
      <w:szCs w:val="20"/>
    </w:rPr>
  </w:style>
  <w:style w:type="paragraph" w:styleId="Header">
    <w:name w:val="header"/>
    <w:basedOn w:val="Normal"/>
    <w:link w:val="HeaderChar"/>
    <w:rsid w:val="00C11ABD"/>
    <w:pPr>
      <w:tabs>
        <w:tab w:val="clear" w:pos="567"/>
      </w:tabs>
    </w:pPr>
    <w:rPr>
      <w:b/>
    </w:r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rsid w:val="00212948"/>
    <w:pPr>
      <w:tabs>
        <w:tab w:val="left" w:pos="1418"/>
        <w:tab w:val="left" w:pos="2268"/>
        <w:tab w:val="left" w:pos="2835"/>
      </w:tabs>
      <w:spacing w:after="80" w:line="3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rsid w:val="00996409"/>
    <w:pPr>
      <w:tabs>
        <w:tab w:val="clear" w:pos="567"/>
        <w:tab w:val="right" w:pos="8942"/>
      </w:tabs>
      <w:spacing w:before="120" w:after="120"/>
    </w:pPr>
    <w:rPr>
      <w:b/>
      <w:bCs/>
      <w:caps/>
      <w:szCs w:val="20"/>
    </w:rPr>
  </w:style>
  <w:style w:type="paragraph" w:styleId="TOC2">
    <w:name w:val="toc 2"/>
    <w:basedOn w:val="Normal"/>
    <w:next w:val="Normal"/>
    <w:uiPriority w:val="39"/>
    <w:rsid w:val="006A72B0"/>
    <w:pPr>
      <w:tabs>
        <w:tab w:val="clear" w:pos="567"/>
        <w:tab w:val="right" w:pos="8942"/>
      </w:tabs>
      <w:spacing w:after="0"/>
      <w:ind w:left="851"/>
    </w:pPr>
    <w:rPr>
      <w:szCs w:val="20"/>
    </w:rPr>
  </w:style>
  <w:style w:type="paragraph" w:styleId="TOC3">
    <w:name w:val="toc 3"/>
    <w:basedOn w:val="Normal"/>
    <w:next w:val="Normal"/>
    <w:rsid w:val="00996409"/>
    <w:pPr>
      <w:tabs>
        <w:tab w:val="clear" w:pos="567"/>
        <w:tab w:val="right" w:pos="8942"/>
      </w:tabs>
      <w:spacing w:after="0"/>
      <w:ind w:left="567"/>
    </w:pPr>
    <w:rPr>
      <w:iCs/>
      <w:caps/>
      <w:szCs w:val="22"/>
    </w:rPr>
  </w:style>
  <w:style w:type="paragraph" w:styleId="TOC4">
    <w:name w:val="toc 4"/>
    <w:basedOn w:val="Normal"/>
    <w:next w:val="Normal"/>
    <w:rsid w:val="00996409"/>
    <w:pPr>
      <w:tabs>
        <w:tab w:val="clear" w:pos="567"/>
        <w:tab w:val="right" w:pos="8942"/>
      </w:tabs>
      <w:spacing w:after="0"/>
      <w:ind w:left="1134"/>
    </w:pPr>
    <w:rPr>
      <w:szCs w:val="22"/>
    </w:r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rsid w:val="00F9170D"/>
    <w:rPr>
      <w:rFonts w:ascii="Times New Roman" w:hAnsi="Times New Roman" w:cs="Arial"/>
      <w:b/>
      <w:bCs/>
      <w:caps/>
      <w:sz w:val="40"/>
      <w:szCs w:val="32"/>
      <w:lang w:eastAsia="en-US"/>
    </w:rPr>
  </w:style>
  <w:style w:type="character" w:customStyle="1" w:styleId="Heading2Char">
    <w:name w:val="Heading 2 Char"/>
    <w:basedOn w:val="DefaultParagraphFont"/>
    <w:link w:val="Heading2"/>
    <w:rsid w:val="003A27BB"/>
    <w:rPr>
      <w:b/>
      <w:caps/>
      <w:color w:val="808080" w:themeColor="background1" w:themeShade="80"/>
      <w:sz w:val="40"/>
      <w:szCs w:val="40"/>
    </w:rPr>
  </w:style>
  <w:style w:type="character" w:customStyle="1" w:styleId="Heading3Char">
    <w:name w:val="Heading 3 Char"/>
    <w:basedOn w:val="DefaultParagraphFont"/>
    <w:link w:val="Heading3"/>
    <w:rsid w:val="00AE67A0"/>
    <w:rPr>
      <w:b/>
      <w:caps/>
      <w:sz w:val="24"/>
      <w:szCs w:val="20"/>
    </w:rPr>
  </w:style>
  <w:style w:type="character" w:customStyle="1" w:styleId="Heading4Char">
    <w:name w:val="Heading 4 Char"/>
    <w:basedOn w:val="DefaultParagraphFont"/>
    <w:link w:val="Heading4"/>
    <w:rsid w:val="00F9170D"/>
    <w:rPr>
      <w:rFonts w:ascii="Times New Roman" w:hAnsi="Times New Roman"/>
      <w:b/>
      <w:szCs w:val="20"/>
      <w:lang w:eastAsia="en-US"/>
    </w:rPr>
  </w:style>
  <w:style w:type="character" w:customStyle="1" w:styleId="Heading5Char">
    <w:name w:val="Heading 5 Char"/>
    <w:basedOn w:val="DefaultParagraphFont"/>
    <w:link w:val="Heading5"/>
    <w:rsid w:val="003A27BB"/>
    <w:rPr>
      <w:b/>
      <w:sz w:val="24"/>
      <w:szCs w:val="20"/>
    </w:rPr>
  </w:style>
  <w:style w:type="paragraph" w:styleId="NoSpacing">
    <w:name w:val="No Spacing"/>
    <w:basedOn w:val="Normal"/>
    <w:next w:val="Normal"/>
    <w:link w:val="NoSpacingChar"/>
    <w:uiPriority w:val="1"/>
    <w:qFormat/>
    <w:rsid w:val="00F9170D"/>
    <w:pPr>
      <w:spacing w:after="0" w:line="240" w:lineRule="auto"/>
    </w:pPr>
  </w:style>
  <w:style w:type="character" w:customStyle="1" w:styleId="NoSpacingChar">
    <w:name w:val="No Spacing Char"/>
    <w:basedOn w:val="DefaultParagraphFont"/>
    <w:link w:val="NoSpacing"/>
    <w:uiPriority w:val="1"/>
    <w:rsid w:val="00F9170D"/>
    <w:rPr>
      <w:rFonts w:ascii="Times New Roman" w:hAnsi="Times New Roman"/>
      <w:szCs w:val="24"/>
      <w:lang w:eastAsia="en-US"/>
    </w:rPr>
  </w:style>
  <w:style w:type="paragraph" w:styleId="ListParagraph">
    <w:name w:val="List Paragraph"/>
    <w:basedOn w:val="Normal"/>
    <w:uiPriority w:val="34"/>
    <w:qFormat/>
    <w:rsid w:val="00622FE1"/>
    <w:pPr>
      <w:tabs>
        <w:tab w:val="clear" w:pos="567"/>
      </w:tabs>
      <w:spacing w:line="300" w:lineRule="atLeast"/>
      <w:ind w:left="1134"/>
    </w:pPr>
  </w:style>
  <w:style w:type="paragraph" w:styleId="TOCHeading">
    <w:name w:val="TOC Heading"/>
    <w:basedOn w:val="Heading1"/>
    <w:next w:val="Normal"/>
    <w:uiPriority w:val="39"/>
    <w:semiHidden/>
    <w:unhideWhenUsed/>
    <w:qFormat/>
    <w:rsid w:val="00F9170D"/>
    <w:pPr>
      <w:keepLines/>
      <w:pBdr>
        <w:bottom w:val="none" w:sz="0" w:space="0" w:color="auto"/>
      </w:pBdr>
      <w:tabs>
        <w:tab w:val="left" w:pos="567"/>
      </w:tabs>
      <w:spacing w:before="480" w:after="0" w:line="320" w:lineRule="atLeast"/>
      <w:outlineLvl w:val="9"/>
    </w:pPr>
    <w:rPr>
      <w:rFonts w:asciiTheme="majorHAnsi" w:eastAsiaTheme="majorEastAsia" w:hAnsiTheme="majorHAnsi" w:cstheme="majorBidi"/>
      <w:caps w:val="0"/>
      <w:color w:val="365F91" w:themeColor="accent1" w:themeShade="BF"/>
      <w:sz w:val="28"/>
      <w:szCs w:val="28"/>
    </w:rPr>
  </w:style>
  <w:style w:type="character" w:customStyle="1" w:styleId="FooterChar">
    <w:name w:val="Footer Char"/>
    <w:basedOn w:val="DefaultParagraphFont"/>
    <w:link w:val="Footer"/>
    <w:uiPriority w:val="99"/>
    <w:rsid w:val="00740A71"/>
    <w:rPr>
      <w:rFonts w:ascii="Times New Roman" w:hAnsi="Times New Roman"/>
      <w:szCs w:val="24"/>
    </w:rPr>
  </w:style>
  <w:style w:type="character" w:customStyle="1" w:styleId="HeaderChar">
    <w:name w:val="Header Char"/>
    <w:basedOn w:val="DefaultParagraphFont"/>
    <w:link w:val="Header"/>
    <w:rsid w:val="00C11ABD"/>
    <w:rPr>
      <w:b/>
      <w:sz w:val="24"/>
      <w:szCs w:val="24"/>
    </w:rPr>
  </w:style>
  <w:style w:type="paragraph" w:customStyle="1" w:styleId="CGCDataCaption">
    <w:name w:val="CGC Data Caption"/>
    <w:basedOn w:val="CGCTableFootnote"/>
    <w:next w:val="NoSpacing"/>
    <w:link w:val="DataCaptionChar"/>
    <w:qFormat/>
    <w:rsid w:val="003A27BB"/>
  </w:style>
  <w:style w:type="character" w:customStyle="1" w:styleId="CaptionChar">
    <w:name w:val="Caption Char"/>
    <w:basedOn w:val="DefaultParagraphFont"/>
    <w:link w:val="Caption"/>
    <w:rsid w:val="00331401"/>
    <w:rPr>
      <w:b/>
      <w:bCs/>
      <w:sz w:val="24"/>
      <w:szCs w:val="20"/>
    </w:rPr>
  </w:style>
  <w:style w:type="character" w:customStyle="1" w:styleId="DataCaptionChar">
    <w:name w:val="Data Caption Char"/>
    <w:basedOn w:val="CaptionChar"/>
    <w:link w:val="CGCDataCaption"/>
    <w:rsid w:val="00331401"/>
    <w:rPr>
      <w:b/>
      <w:bCs/>
      <w:sz w:val="24"/>
      <w:szCs w:val="20"/>
    </w:rPr>
  </w:style>
  <w:style w:type="character" w:customStyle="1" w:styleId="CGCBulletlistCharChar">
    <w:name w:val="CGC Bullet list Char Char"/>
    <w:basedOn w:val="DefaultParagraphFont"/>
    <w:link w:val="CGCBulletlist"/>
    <w:rsid w:val="00397A49"/>
    <w:rPr>
      <w:sz w:val="24"/>
      <w:szCs w:val="20"/>
    </w:rPr>
  </w:style>
  <w:style w:type="paragraph" w:styleId="BodyTextIndent2">
    <w:name w:val="Body Text Indent 2"/>
    <w:basedOn w:val="Normal"/>
    <w:link w:val="BodyTextIndent2Char"/>
    <w:rsid w:val="00397A49"/>
    <w:pPr>
      <w:tabs>
        <w:tab w:val="clear" w:pos="567"/>
        <w:tab w:val="left" w:pos="1440"/>
        <w:tab w:val="left" w:pos="2160"/>
        <w:tab w:val="left" w:pos="2880"/>
      </w:tabs>
      <w:ind w:left="567"/>
    </w:pPr>
    <w:rPr>
      <w:rFonts w:ascii="Times New Roman" w:eastAsia="Times New Roman" w:hAnsi="Times New Roman" w:cs="Times New Roman"/>
      <w:b/>
      <w:bCs/>
      <w:sz w:val="22"/>
    </w:rPr>
  </w:style>
  <w:style w:type="character" w:customStyle="1" w:styleId="BodyTextIndent2Char">
    <w:name w:val="Body Text Indent 2 Char"/>
    <w:basedOn w:val="DefaultParagraphFont"/>
    <w:link w:val="BodyTextIndent2"/>
    <w:rsid w:val="00397A49"/>
    <w:rPr>
      <w:rFonts w:ascii="Times New Roman" w:eastAsia="Times New Roman" w:hAnsi="Times New Roman" w:cs="Times New Roman"/>
      <w:b/>
      <w:bCs/>
      <w:szCs w:val="24"/>
    </w:rPr>
  </w:style>
  <w:style w:type="character" w:customStyle="1" w:styleId="FootnoteTextChar">
    <w:name w:val="Footnote Text Char"/>
    <w:basedOn w:val="DefaultParagraphFont"/>
    <w:link w:val="FootnoteText"/>
    <w:rsid w:val="00397A49"/>
    <w:rPr>
      <w:sz w:val="20"/>
      <w:szCs w:val="20"/>
    </w:rPr>
  </w:style>
  <w:style w:type="character" w:customStyle="1" w:styleId="CGCBulletlistChar">
    <w:name w:val="CGC Bullet list Char"/>
    <w:aliases w:val="CGC List 1 Char,CGC Bullet list Char1"/>
    <w:basedOn w:val="DefaultParagraphFont"/>
    <w:rsid w:val="00397A49"/>
    <w:rPr>
      <w:sz w:val="24"/>
      <w:szCs w:val="20"/>
    </w:rPr>
  </w:style>
  <w:style w:type="character" w:customStyle="1" w:styleId="CGCSubbulletlistChar">
    <w:name w:val="CGC Sub bullet list Char"/>
    <w:basedOn w:val="DefaultParagraphFont"/>
    <w:link w:val="CGCSubbulletlist"/>
    <w:rsid w:val="00397A49"/>
    <w:rPr>
      <w:sz w:val="24"/>
      <w:szCs w:val="20"/>
    </w:rPr>
  </w:style>
  <w:style w:type="character" w:customStyle="1" w:styleId="CGCTableHeadingChar">
    <w:name w:val="CGC Table Heading Char"/>
    <w:basedOn w:val="DefaultParagraphFont"/>
    <w:link w:val="CGCTableHeading"/>
    <w:rsid w:val="00397A49"/>
    <w:rPr>
      <w:b/>
      <w:sz w:val="24"/>
      <w:szCs w:val="20"/>
    </w:rPr>
  </w:style>
  <w:style w:type="character" w:customStyle="1" w:styleId="CGCParaNoChar">
    <w:name w:val="CGC Para No Char"/>
    <w:aliases w:val="CGC Numbered Para Char"/>
    <w:basedOn w:val="DefaultParagraphFont"/>
    <w:link w:val="CGCNumberedPara"/>
    <w:rsid w:val="00397A4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footer" w:uiPriority="99"/>
    <w:lsdException w:name="caption" w:uiPriority="35" w:qFormat="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317E7"/>
    <w:pPr>
      <w:tabs>
        <w:tab w:val="left" w:pos="567"/>
      </w:tabs>
      <w:spacing w:after="80" w:line="320" w:lineRule="atLeast"/>
    </w:pPr>
    <w:rPr>
      <w:sz w:val="24"/>
      <w:szCs w:val="24"/>
    </w:rPr>
  </w:style>
  <w:style w:type="paragraph" w:styleId="Heading1">
    <w:name w:val="heading 1"/>
    <w:basedOn w:val="Normal"/>
    <w:next w:val="Heading2"/>
    <w:link w:val="Heading1Char"/>
    <w:qFormat/>
    <w:rsid w:val="00F9170D"/>
    <w:pPr>
      <w:keepNext/>
      <w:pBdr>
        <w:bottom w:val="single" w:sz="6" w:space="1" w:color="auto"/>
      </w:pBdr>
      <w:tabs>
        <w:tab w:val="clear" w:pos="567"/>
      </w:tabs>
      <w:spacing w:before="2400" w:after="200" w:line="240" w:lineRule="auto"/>
      <w:outlineLvl w:val="0"/>
    </w:pPr>
    <w:rPr>
      <w:rFonts w:cs="Arial"/>
      <w:b/>
      <w:bCs/>
      <w:caps/>
      <w:sz w:val="40"/>
      <w:szCs w:val="32"/>
    </w:rPr>
  </w:style>
  <w:style w:type="paragraph" w:styleId="Heading2">
    <w:name w:val="heading 2"/>
    <w:basedOn w:val="Normal"/>
    <w:next w:val="Heading3"/>
    <w:link w:val="Heading2Char"/>
    <w:qFormat/>
    <w:rsid w:val="003A27BB"/>
    <w:pPr>
      <w:keepNext/>
      <w:tabs>
        <w:tab w:val="clear" w:pos="567"/>
      </w:tabs>
      <w:spacing w:after="720" w:line="240" w:lineRule="auto"/>
      <w:outlineLvl w:val="1"/>
    </w:pPr>
    <w:rPr>
      <w:b/>
      <w:caps/>
      <w:color w:val="808080" w:themeColor="background1" w:themeShade="80"/>
      <w:sz w:val="40"/>
      <w:szCs w:val="40"/>
    </w:rPr>
  </w:style>
  <w:style w:type="paragraph" w:styleId="Heading3">
    <w:name w:val="heading 3"/>
    <w:basedOn w:val="Normal"/>
    <w:next w:val="Heading4"/>
    <w:link w:val="Heading3Char"/>
    <w:qFormat/>
    <w:rsid w:val="00AE67A0"/>
    <w:pPr>
      <w:keepNext/>
      <w:tabs>
        <w:tab w:val="clear" w:pos="567"/>
      </w:tabs>
      <w:spacing w:before="600" w:after="200" w:line="240" w:lineRule="auto"/>
      <w:outlineLvl w:val="2"/>
    </w:pPr>
    <w:rPr>
      <w:b/>
      <w:caps/>
      <w:szCs w:val="20"/>
    </w:rPr>
  </w:style>
  <w:style w:type="paragraph" w:styleId="Heading4">
    <w:name w:val="heading 4"/>
    <w:basedOn w:val="Normal"/>
    <w:next w:val="CGCNumberedPara"/>
    <w:link w:val="Heading4Char"/>
    <w:qFormat/>
    <w:rsid w:val="00F9170D"/>
    <w:pPr>
      <w:keepNext/>
      <w:tabs>
        <w:tab w:val="clear" w:pos="567"/>
      </w:tabs>
      <w:spacing w:before="300" w:after="40" w:line="240" w:lineRule="auto"/>
      <w:outlineLvl w:val="3"/>
    </w:pPr>
    <w:rPr>
      <w:b/>
      <w:szCs w:val="20"/>
    </w:rPr>
  </w:style>
  <w:style w:type="paragraph" w:styleId="Heading5">
    <w:name w:val="heading 5"/>
    <w:basedOn w:val="Normal"/>
    <w:next w:val="CGCNumberedPara"/>
    <w:link w:val="Heading5Char"/>
    <w:qFormat/>
    <w:rsid w:val="003A27BB"/>
    <w:pPr>
      <w:keepNext/>
      <w:tabs>
        <w:tab w:val="clear" w:pos="567"/>
      </w:tabs>
      <w:spacing w:before="180" w:after="40" w:line="240" w:lineRule="auto"/>
      <w:outlineLvl w:val="4"/>
    </w:pPr>
    <w:rPr>
      <w:b/>
      <w:szCs w:val="20"/>
    </w:rPr>
  </w:style>
  <w:style w:type="paragraph" w:styleId="Heading6">
    <w:name w:val="heading 6"/>
    <w:aliases w:val="(Not In Use), Section heading"/>
    <w:basedOn w:val="Normal"/>
    <w:next w:val="Heading2"/>
    <w:semiHidden/>
    <w:rsid w:val="00765BA8"/>
    <w:pPr>
      <w:keepNext/>
      <w:numPr>
        <w:ilvl w:val="5"/>
        <w:numId w:val="17"/>
      </w:numPr>
      <w:spacing w:before="300" w:after="40" w:line="240" w:lineRule="auto"/>
      <w:outlineLvl w:val="5"/>
    </w:pPr>
    <w:rPr>
      <w:b/>
      <w:iCs/>
      <w:szCs w:val="20"/>
    </w:rPr>
  </w:style>
  <w:style w:type="paragraph" w:styleId="Heading7">
    <w:name w:val="heading 7"/>
    <w:aliases w:val="(Do Not Use),top section heading,(TopSection)"/>
    <w:basedOn w:val="Normal"/>
    <w:next w:val="Heading2"/>
    <w:semiHidden/>
    <w:rsid w:val="00765BA8"/>
    <w:pPr>
      <w:keepNext/>
      <w:numPr>
        <w:ilvl w:val="6"/>
        <w:numId w:val="17"/>
      </w:numPr>
      <w:spacing w:after="40" w:line="240" w:lineRule="auto"/>
      <w:outlineLvl w:val="6"/>
    </w:pPr>
    <w:rPr>
      <w:b/>
      <w:iCs/>
      <w:szCs w:val="20"/>
    </w:rPr>
  </w:style>
  <w:style w:type="paragraph" w:styleId="Heading8">
    <w:name w:val="heading 8"/>
    <w:aliases w:val="(Do not use),(Sub-section Nos)"/>
    <w:basedOn w:val="Normal"/>
    <w:next w:val="Normal"/>
    <w:semiHidden/>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765BA8"/>
    <w:rPr>
      <w:rFonts w:ascii="Tahoma" w:hAnsi="Tahoma" w:cs="Tahoma"/>
      <w:sz w:val="16"/>
      <w:szCs w:val="16"/>
    </w:rPr>
  </w:style>
  <w:style w:type="paragraph" w:styleId="Caption">
    <w:name w:val="caption"/>
    <w:basedOn w:val="Normal"/>
    <w:next w:val="Normal"/>
    <w:link w:val="CaptionChar"/>
    <w:uiPriority w:val="35"/>
    <w:qFormat/>
    <w:rsid w:val="00F9170D"/>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Char"/>
    <w:qFormat/>
    <w:rsid w:val="00B317E7"/>
    <w:pPr>
      <w:numPr>
        <w:numId w:val="10"/>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BB3FC5"/>
    <w:pPr>
      <w:numPr>
        <w:numId w:val="11"/>
      </w:numPr>
      <w:tabs>
        <w:tab w:val="clear" w:pos="567"/>
      </w:tabs>
      <w:spacing w:line="300" w:lineRule="atLeast"/>
      <w:ind w:left="2268" w:hanging="567"/>
    </w:pPr>
    <w:rPr>
      <w:szCs w:val="20"/>
    </w:rPr>
  </w:style>
  <w:style w:type="paragraph" w:customStyle="1" w:styleId="CGCNumberedPara">
    <w:name w:val="CGC Numbered Para"/>
    <w:aliases w:val="CGC Para No"/>
    <w:basedOn w:val="Normal"/>
    <w:link w:val="CGCParaNoChar"/>
    <w:qFormat/>
    <w:rsid w:val="00F9170D"/>
    <w:pPr>
      <w:numPr>
        <w:ilvl w:val="1"/>
        <w:numId w:val="26"/>
      </w:numPr>
      <w:spacing w:before="120"/>
    </w:pPr>
  </w:style>
  <w:style w:type="paragraph" w:customStyle="1" w:styleId="CGCQuotation">
    <w:name w:val="CGC Quotation"/>
    <w:basedOn w:val="Normal"/>
    <w:next w:val="CGCNumberedPara"/>
    <w:rsid w:val="003A27BB"/>
    <w:pPr>
      <w:tabs>
        <w:tab w:val="clear" w:pos="567"/>
      </w:tabs>
      <w:spacing w:before="120" w:after="120" w:line="240" w:lineRule="auto"/>
      <w:ind w:left="1134" w:right="1134"/>
    </w:pPr>
    <w:rPr>
      <w:sz w:val="22"/>
    </w:rPr>
  </w:style>
  <w:style w:type="paragraph" w:customStyle="1" w:styleId="CGCSubbulletlist">
    <w:name w:val="CGC Sub bullet list"/>
    <w:aliases w:val="CGC List 2"/>
    <w:basedOn w:val="Normal"/>
    <w:link w:val="CGCSubbulletlistChar"/>
    <w:qFormat/>
    <w:rsid w:val="00B317E7"/>
    <w:pPr>
      <w:numPr>
        <w:numId w:val="13"/>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172F3A"/>
    <w:pPr>
      <w:numPr>
        <w:numId w:val="19"/>
      </w:numPr>
      <w:ind w:right="1134"/>
    </w:pPr>
    <w:rPr>
      <w:sz w:val="22"/>
    </w:rPr>
  </w:style>
  <w:style w:type="paragraph" w:customStyle="1" w:styleId="CGCTableFootnote">
    <w:name w:val="CGC Table Footnote"/>
    <w:basedOn w:val="CGCNumberedPara"/>
    <w:next w:val="NoSpacing"/>
    <w:qFormat/>
    <w:rsid w:val="00172F3A"/>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C035B5"/>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TableRowNormal"/>
    <w:qFormat/>
    <w:rsid w:val="00F9170D"/>
    <w:pPr>
      <w:tabs>
        <w:tab w:val="clear" w:pos="475"/>
        <w:tab w:val="clear" w:pos="1440"/>
        <w:tab w:val="clear" w:pos="2160"/>
        <w:tab w:val="clear" w:pos="2880"/>
        <w:tab w:val="left" w:pos="284"/>
      </w:tabs>
      <w:ind w:left="0" w:firstLine="0"/>
      <w:jc w:val="left"/>
    </w:p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rsid w:val="00765BA8"/>
    <w:pPr>
      <w:tabs>
        <w:tab w:val="center" w:pos="4153"/>
        <w:tab w:val="right" w:pos="8306"/>
      </w:tabs>
    </w:pPr>
  </w:style>
  <w:style w:type="character" w:styleId="FootnoteReference">
    <w:name w:val="footnote reference"/>
    <w:basedOn w:val="DefaultParagraphFont"/>
    <w:rsid w:val="00765BA8"/>
    <w:rPr>
      <w:vertAlign w:val="superscript"/>
    </w:rPr>
  </w:style>
  <w:style w:type="paragraph" w:styleId="FootnoteText">
    <w:name w:val="footnote text"/>
    <w:basedOn w:val="Normal"/>
    <w:link w:val="FootnoteTextChar"/>
    <w:rsid w:val="00765BA8"/>
    <w:pPr>
      <w:spacing w:after="0" w:line="240" w:lineRule="auto"/>
      <w:ind w:left="567" w:hanging="567"/>
    </w:pPr>
    <w:rPr>
      <w:sz w:val="20"/>
      <w:szCs w:val="20"/>
    </w:rPr>
  </w:style>
  <w:style w:type="paragraph" w:styleId="Header">
    <w:name w:val="header"/>
    <w:basedOn w:val="Normal"/>
    <w:link w:val="HeaderChar"/>
    <w:rsid w:val="00C11ABD"/>
    <w:pPr>
      <w:tabs>
        <w:tab w:val="clear" w:pos="567"/>
      </w:tabs>
    </w:pPr>
    <w:rPr>
      <w:b/>
    </w:r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rsid w:val="00212948"/>
    <w:pPr>
      <w:tabs>
        <w:tab w:val="left" w:pos="1418"/>
        <w:tab w:val="left" w:pos="2268"/>
        <w:tab w:val="left" w:pos="2835"/>
      </w:tabs>
      <w:spacing w:after="80" w:line="3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rsid w:val="00996409"/>
    <w:pPr>
      <w:tabs>
        <w:tab w:val="clear" w:pos="567"/>
        <w:tab w:val="right" w:pos="8942"/>
      </w:tabs>
      <w:spacing w:before="120" w:after="120"/>
    </w:pPr>
    <w:rPr>
      <w:b/>
      <w:bCs/>
      <w:caps/>
      <w:szCs w:val="20"/>
    </w:rPr>
  </w:style>
  <w:style w:type="paragraph" w:styleId="TOC2">
    <w:name w:val="toc 2"/>
    <w:basedOn w:val="Normal"/>
    <w:next w:val="Normal"/>
    <w:uiPriority w:val="39"/>
    <w:rsid w:val="006A72B0"/>
    <w:pPr>
      <w:tabs>
        <w:tab w:val="clear" w:pos="567"/>
        <w:tab w:val="right" w:pos="8942"/>
      </w:tabs>
      <w:spacing w:after="0"/>
      <w:ind w:left="851"/>
    </w:pPr>
    <w:rPr>
      <w:szCs w:val="20"/>
    </w:rPr>
  </w:style>
  <w:style w:type="paragraph" w:styleId="TOC3">
    <w:name w:val="toc 3"/>
    <w:basedOn w:val="Normal"/>
    <w:next w:val="Normal"/>
    <w:rsid w:val="00996409"/>
    <w:pPr>
      <w:tabs>
        <w:tab w:val="clear" w:pos="567"/>
        <w:tab w:val="right" w:pos="8942"/>
      </w:tabs>
      <w:spacing w:after="0"/>
      <w:ind w:left="567"/>
    </w:pPr>
    <w:rPr>
      <w:iCs/>
      <w:caps/>
      <w:szCs w:val="22"/>
    </w:rPr>
  </w:style>
  <w:style w:type="paragraph" w:styleId="TOC4">
    <w:name w:val="toc 4"/>
    <w:basedOn w:val="Normal"/>
    <w:next w:val="Normal"/>
    <w:rsid w:val="00996409"/>
    <w:pPr>
      <w:tabs>
        <w:tab w:val="clear" w:pos="567"/>
        <w:tab w:val="right" w:pos="8942"/>
      </w:tabs>
      <w:spacing w:after="0"/>
      <w:ind w:left="1134"/>
    </w:pPr>
    <w:rPr>
      <w:szCs w:val="22"/>
    </w:r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rsid w:val="00F9170D"/>
    <w:rPr>
      <w:rFonts w:ascii="Times New Roman" w:hAnsi="Times New Roman" w:cs="Arial"/>
      <w:b/>
      <w:bCs/>
      <w:caps/>
      <w:sz w:val="40"/>
      <w:szCs w:val="32"/>
      <w:lang w:eastAsia="en-US"/>
    </w:rPr>
  </w:style>
  <w:style w:type="character" w:customStyle="1" w:styleId="Heading2Char">
    <w:name w:val="Heading 2 Char"/>
    <w:basedOn w:val="DefaultParagraphFont"/>
    <w:link w:val="Heading2"/>
    <w:rsid w:val="003A27BB"/>
    <w:rPr>
      <w:b/>
      <w:caps/>
      <w:color w:val="808080" w:themeColor="background1" w:themeShade="80"/>
      <w:sz w:val="40"/>
      <w:szCs w:val="40"/>
    </w:rPr>
  </w:style>
  <w:style w:type="character" w:customStyle="1" w:styleId="Heading3Char">
    <w:name w:val="Heading 3 Char"/>
    <w:basedOn w:val="DefaultParagraphFont"/>
    <w:link w:val="Heading3"/>
    <w:rsid w:val="00AE67A0"/>
    <w:rPr>
      <w:b/>
      <w:caps/>
      <w:sz w:val="24"/>
      <w:szCs w:val="20"/>
    </w:rPr>
  </w:style>
  <w:style w:type="character" w:customStyle="1" w:styleId="Heading4Char">
    <w:name w:val="Heading 4 Char"/>
    <w:basedOn w:val="DefaultParagraphFont"/>
    <w:link w:val="Heading4"/>
    <w:rsid w:val="00F9170D"/>
    <w:rPr>
      <w:rFonts w:ascii="Times New Roman" w:hAnsi="Times New Roman"/>
      <w:b/>
      <w:szCs w:val="20"/>
      <w:lang w:eastAsia="en-US"/>
    </w:rPr>
  </w:style>
  <w:style w:type="character" w:customStyle="1" w:styleId="Heading5Char">
    <w:name w:val="Heading 5 Char"/>
    <w:basedOn w:val="DefaultParagraphFont"/>
    <w:link w:val="Heading5"/>
    <w:rsid w:val="003A27BB"/>
    <w:rPr>
      <w:b/>
      <w:sz w:val="24"/>
      <w:szCs w:val="20"/>
    </w:rPr>
  </w:style>
  <w:style w:type="paragraph" w:styleId="NoSpacing">
    <w:name w:val="No Spacing"/>
    <w:basedOn w:val="Normal"/>
    <w:next w:val="Normal"/>
    <w:link w:val="NoSpacingChar"/>
    <w:uiPriority w:val="1"/>
    <w:qFormat/>
    <w:rsid w:val="00F9170D"/>
    <w:pPr>
      <w:spacing w:after="0" w:line="240" w:lineRule="auto"/>
    </w:pPr>
  </w:style>
  <w:style w:type="character" w:customStyle="1" w:styleId="NoSpacingChar">
    <w:name w:val="No Spacing Char"/>
    <w:basedOn w:val="DefaultParagraphFont"/>
    <w:link w:val="NoSpacing"/>
    <w:uiPriority w:val="1"/>
    <w:rsid w:val="00F9170D"/>
    <w:rPr>
      <w:rFonts w:ascii="Times New Roman" w:hAnsi="Times New Roman"/>
      <w:szCs w:val="24"/>
      <w:lang w:eastAsia="en-US"/>
    </w:rPr>
  </w:style>
  <w:style w:type="paragraph" w:styleId="ListParagraph">
    <w:name w:val="List Paragraph"/>
    <w:basedOn w:val="Normal"/>
    <w:uiPriority w:val="34"/>
    <w:qFormat/>
    <w:rsid w:val="00622FE1"/>
    <w:pPr>
      <w:tabs>
        <w:tab w:val="clear" w:pos="567"/>
      </w:tabs>
      <w:spacing w:line="300" w:lineRule="atLeast"/>
      <w:ind w:left="1134"/>
    </w:pPr>
  </w:style>
  <w:style w:type="paragraph" w:styleId="TOCHeading">
    <w:name w:val="TOC Heading"/>
    <w:basedOn w:val="Heading1"/>
    <w:next w:val="Normal"/>
    <w:uiPriority w:val="39"/>
    <w:semiHidden/>
    <w:unhideWhenUsed/>
    <w:qFormat/>
    <w:rsid w:val="00F9170D"/>
    <w:pPr>
      <w:keepLines/>
      <w:pBdr>
        <w:bottom w:val="none" w:sz="0" w:space="0" w:color="auto"/>
      </w:pBdr>
      <w:tabs>
        <w:tab w:val="left" w:pos="567"/>
      </w:tabs>
      <w:spacing w:before="480" w:after="0" w:line="320" w:lineRule="atLeast"/>
      <w:outlineLvl w:val="9"/>
    </w:pPr>
    <w:rPr>
      <w:rFonts w:asciiTheme="majorHAnsi" w:eastAsiaTheme="majorEastAsia" w:hAnsiTheme="majorHAnsi" w:cstheme="majorBidi"/>
      <w:caps w:val="0"/>
      <w:color w:val="365F91" w:themeColor="accent1" w:themeShade="BF"/>
      <w:sz w:val="28"/>
      <w:szCs w:val="28"/>
    </w:rPr>
  </w:style>
  <w:style w:type="character" w:customStyle="1" w:styleId="FooterChar">
    <w:name w:val="Footer Char"/>
    <w:basedOn w:val="DefaultParagraphFont"/>
    <w:link w:val="Footer"/>
    <w:uiPriority w:val="99"/>
    <w:rsid w:val="00740A71"/>
    <w:rPr>
      <w:rFonts w:ascii="Times New Roman" w:hAnsi="Times New Roman"/>
      <w:szCs w:val="24"/>
    </w:rPr>
  </w:style>
  <w:style w:type="character" w:customStyle="1" w:styleId="HeaderChar">
    <w:name w:val="Header Char"/>
    <w:basedOn w:val="DefaultParagraphFont"/>
    <w:link w:val="Header"/>
    <w:rsid w:val="00C11ABD"/>
    <w:rPr>
      <w:b/>
      <w:sz w:val="24"/>
      <w:szCs w:val="24"/>
    </w:rPr>
  </w:style>
  <w:style w:type="paragraph" w:customStyle="1" w:styleId="CGCDataCaption">
    <w:name w:val="CGC Data Caption"/>
    <w:basedOn w:val="CGCTableFootnote"/>
    <w:next w:val="NoSpacing"/>
    <w:link w:val="DataCaptionChar"/>
    <w:qFormat/>
    <w:rsid w:val="003A27BB"/>
  </w:style>
  <w:style w:type="character" w:customStyle="1" w:styleId="CaptionChar">
    <w:name w:val="Caption Char"/>
    <w:basedOn w:val="DefaultParagraphFont"/>
    <w:link w:val="Caption"/>
    <w:rsid w:val="00331401"/>
    <w:rPr>
      <w:b/>
      <w:bCs/>
      <w:sz w:val="24"/>
      <w:szCs w:val="20"/>
    </w:rPr>
  </w:style>
  <w:style w:type="character" w:customStyle="1" w:styleId="DataCaptionChar">
    <w:name w:val="Data Caption Char"/>
    <w:basedOn w:val="CaptionChar"/>
    <w:link w:val="CGCDataCaption"/>
    <w:rsid w:val="00331401"/>
    <w:rPr>
      <w:b/>
      <w:bCs/>
      <w:sz w:val="24"/>
      <w:szCs w:val="20"/>
    </w:rPr>
  </w:style>
  <w:style w:type="character" w:customStyle="1" w:styleId="CGCBulletlistCharChar">
    <w:name w:val="CGC Bullet list Char Char"/>
    <w:basedOn w:val="DefaultParagraphFont"/>
    <w:link w:val="CGCBulletlist"/>
    <w:rsid w:val="00397A49"/>
    <w:rPr>
      <w:sz w:val="24"/>
      <w:szCs w:val="20"/>
    </w:rPr>
  </w:style>
  <w:style w:type="paragraph" w:styleId="BodyTextIndent2">
    <w:name w:val="Body Text Indent 2"/>
    <w:basedOn w:val="Normal"/>
    <w:link w:val="BodyTextIndent2Char"/>
    <w:rsid w:val="00397A49"/>
    <w:pPr>
      <w:tabs>
        <w:tab w:val="clear" w:pos="567"/>
        <w:tab w:val="left" w:pos="1440"/>
        <w:tab w:val="left" w:pos="2160"/>
        <w:tab w:val="left" w:pos="2880"/>
      </w:tabs>
      <w:ind w:left="567"/>
    </w:pPr>
    <w:rPr>
      <w:rFonts w:ascii="Times New Roman" w:eastAsia="Times New Roman" w:hAnsi="Times New Roman" w:cs="Times New Roman"/>
      <w:b/>
      <w:bCs/>
      <w:sz w:val="22"/>
    </w:rPr>
  </w:style>
  <w:style w:type="character" w:customStyle="1" w:styleId="BodyTextIndent2Char">
    <w:name w:val="Body Text Indent 2 Char"/>
    <w:basedOn w:val="DefaultParagraphFont"/>
    <w:link w:val="BodyTextIndent2"/>
    <w:rsid w:val="00397A49"/>
    <w:rPr>
      <w:rFonts w:ascii="Times New Roman" w:eastAsia="Times New Roman" w:hAnsi="Times New Roman" w:cs="Times New Roman"/>
      <w:b/>
      <w:bCs/>
      <w:szCs w:val="24"/>
    </w:rPr>
  </w:style>
  <w:style w:type="character" w:customStyle="1" w:styleId="FootnoteTextChar">
    <w:name w:val="Footnote Text Char"/>
    <w:basedOn w:val="DefaultParagraphFont"/>
    <w:link w:val="FootnoteText"/>
    <w:rsid w:val="00397A49"/>
    <w:rPr>
      <w:sz w:val="20"/>
      <w:szCs w:val="20"/>
    </w:rPr>
  </w:style>
  <w:style w:type="character" w:customStyle="1" w:styleId="CGCBulletlistChar">
    <w:name w:val="CGC Bullet list Char"/>
    <w:aliases w:val="CGC List 1 Char,CGC Bullet list Char1"/>
    <w:basedOn w:val="DefaultParagraphFont"/>
    <w:rsid w:val="00397A49"/>
    <w:rPr>
      <w:sz w:val="24"/>
      <w:szCs w:val="20"/>
    </w:rPr>
  </w:style>
  <w:style w:type="character" w:customStyle="1" w:styleId="CGCSubbulletlistChar">
    <w:name w:val="CGC Sub bullet list Char"/>
    <w:basedOn w:val="DefaultParagraphFont"/>
    <w:link w:val="CGCSubbulletlist"/>
    <w:rsid w:val="00397A49"/>
    <w:rPr>
      <w:sz w:val="24"/>
      <w:szCs w:val="20"/>
    </w:rPr>
  </w:style>
  <w:style w:type="character" w:customStyle="1" w:styleId="CGCTableHeadingChar">
    <w:name w:val="CGC Table Heading Char"/>
    <w:basedOn w:val="DefaultParagraphFont"/>
    <w:link w:val="CGCTableHeading"/>
    <w:rsid w:val="00397A49"/>
    <w:rPr>
      <w:b/>
      <w:sz w:val="24"/>
      <w:szCs w:val="20"/>
    </w:rPr>
  </w:style>
  <w:style w:type="character" w:customStyle="1" w:styleId="CGCParaNoChar">
    <w:name w:val="CGC Para No Char"/>
    <w:aliases w:val="CGC Numbered Para Char"/>
    <w:basedOn w:val="DefaultParagraphFont"/>
    <w:link w:val="CGCNumberedPara"/>
    <w:rsid w:val="00397A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mailto:secretary@cgc.gov.au" TargetMode="External"/><Relationship Id="rId17" Type="http://schemas.openxmlformats.org/officeDocument/2006/relationships/header" Target="header2.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reativecommons.org" TargetMode="External"/><Relationship Id="rId22" Type="http://schemas.openxmlformats.org/officeDocument/2006/relationships/image" Target="media/image4.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gcna01\ODrive\Word%20Templates\2011%20templates\Agenda%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3F537-271E-4B2D-840F-D23D1BED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Paper.dotx</Template>
  <TotalTime>7</TotalTime>
  <Pages>15</Pages>
  <Words>3078</Words>
  <Characters>17253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vt:lpstr>
    </vt:vector>
  </TitlesOfParts>
  <Company>Commonwealth Grants Commission</Company>
  <LinksUpToDate>false</LinksUpToDate>
  <CharactersWithSpaces>20291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Anthony Nichols</dc:creator>
  <cp:lastModifiedBy>Daniel Dwyer</cp:lastModifiedBy>
  <cp:revision>5</cp:revision>
  <cp:lastPrinted>2013-09-16T21:43:00Z</cp:lastPrinted>
  <dcterms:created xsi:type="dcterms:W3CDTF">2013-10-13T22:33:00Z</dcterms:created>
  <dcterms:modified xsi:type="dcterms:W3CDTF">2013-10-23T01:52:00Z</dcterms:modified>
</cp:coreProperties>
</file>