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2A" w:rsidRPr="00970E6D" w:rsidRDefault="000A3F2A" w:rsidP="000A3F2A">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GoBack"/>
      <w:bookmarkEnd w:id="6"/>
      <w:r w:rsidRPr="00970E6D">
        <w:rPr>
          <w:noProof/>
          <w:lang w:eastAsia="en-AU"/>
        </w:rPr>
        <w:drawing>
          <wp:inline distT="0" distB="0" distL="0" distR="0" wp14:anchorId="6CB9FAE4" wp14:editId="35DAEC53">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r w:rsidRPr="00970E6D">
        <w:rPr>
          <w:b/>
          <w:sz w:val="40"/>
          <w:szCs w:val="40"/>
        </w:rPr>
        <w:t>2015 REVIEW</w:t>
      </w: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FE1EA2" w:rsidP="000A3F2A">
      <w:pPr>
        <w:tabs>
          <w:tab w:val="clear" w:pos="567"/>
        </w:tabs>
        <w:jc w:val="center"/>
        <w:rPr>
          <w:bCs/>
          <w:sz w:val="40"/>
          <w:szCs w:val="40"/>
        </w:rPr>
      </w:pPr>
      <w:r>
        <w:rPr>
          <w:b/>
          <w:sz w:val="40"/>
          <w:szCs w:val="40"/>
        </w:rPr>
        <w:t>Remoteness classification</w:t>
      </w: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r w:rsidRPr="00970E6D">
        <w:rPr>
          <w:b/>
          <w:sz w:val="40"/>
          <w:szCs w:val="40"/>
        </w:rPr>
        <w:t>STAFF DISCUSSION PAPER</w:t>
      </w:r>
      <w:r w:rsidRPr="00970E6D">
        <w:rPr>
          <w:b/>
          <w:sz w:val="40"/>
          <w:szCs w:val="40"/>
        </w:rPr>
        <w:br/>
        <w:t>CGC 201</w:t>
      </w:r>
      <w:r w:rsidR="00FE1EA2">
        <w:rPr>
          <w:b/>
          <w:sz w:val="40"/>
          <w:szCs w:val="40"/>
        </w:rPr>
        <w:t>3</w:t>
      </w:r>
      <w:r w:rsidRPr="00970E6D">
        <w:rPr>
          <w:b/>
          <w:sz w:val="40"/>
          <w:szCs w:val="40"/>
        </w:rPr>
        <w:t>-</w:t>
      </w:r>
      <w:r w:rsidR="00FE1EA2">
        <w:rPr>
          <w:b/>
          <w:sz w:val="40"/>
          <w:szCs w:val="40"/>
        </w:rPr>
        <w:t>01</w:t>
      </w: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b/>
          <w:sz w:val="40"/>
          <w:szCs w:val="40"/>
        </w:rPr>
      </w:pPr>
    </w:p>
    <w:p w:rsidR="000A3F2A" w:rsidRPr="00970E6D" w:rsidRDefault="000A3F2A" w:rsidP="000A3F2A">
      <w:pPr>
        <w:tabs>
          <w:tab w:val="clear" w:pos="567"/>
        </w:tabs>
        <w:jc w:val="center"/>
        <w:rPr>
          <w:sz w:val="40"/>
          <w:szCs w:val="40"/>
        </w:rPr>
      </w:pPr>
    </w:p>
    <w:p w:rsidR="000A3F2A" w:rsidRPr="00970E6D" w:rsidRDefault="00FE1EA2" w:rsidP="000A3F2A">
      <w:pPr>
        <w:tabs>
          <w:tab w:val="clear" w:pos="567"/>
        </w:tabs>
        <w:jc w:val="right"/>
        <w:rPr>
          <w:b/>
          <w:sz w:val="28"/>
          <w:szCs w:val="28"/>
        </w:rPr>
      </w:pPr>
      <w:r>
        <w:rPr>
          <w:b/>
          <w:sz w:val="28"/>
          <w:szCs w:val="28"/>
        </w:rPr>
        <w:t>APRIL 2013</w:t>
      </w:r>
    </w:p>
    <w:p w:rsidR="000A3F2A" w:rsidRPr="00970E6D" w:rsidRDefault="000A3F2A" w:rsidP="000A3F2A">
      <w:pPr>
        <w:tabs>
          <w:tab w:val="clear" w:pos="567"/>
        </w:tabs>
      </w:pPr>
    </w:p>
    <w:p w:rsidR="000A3F2A" w:rsidRPr="00970E6D" w:rsidRDefault="000A3F2A" w:rsidP="000A3F2A">
      <w:pPr>
        <w:tabs>
          <w:tab w:val="clear" w:pos="567"/>
        </w:tabs>
        <w:sectPr w:rsidR="000A3F2A" w:rsidRPr="00970E6D" w:rsidSect="00EE3714">
          <w:footerReference w:type="default" r:id="rId10"/>
          <w:footerReference w:type="first" r:id="rId11"/>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Pr>
      <w:tblGrid>
        <w:gridCol w:w="2943"/>
        <w:gridCol w:w="6224"/>
      </w:tblGrid>
      <w:tr w:rsidR="000A3F2A" w:rsidRPr="00970E6D" w:rsidTr="00EE3714">
        <w:tc>
          <w:tcPr>
            <w:tcW w:w="1605" w:type="pct"/>
            <w:tcBorders>
              <w:top w:val="single" w:sz="4" w:space="0" w:color="auto"/>
              <w:left w:val="single" w:sz="4" w:space="0" w:color="auto"/>
              <w:bottom w:val="single" w:sz="4" w:space="0" w:color="auto"/>
              <w:right w:val="single" w:sz="4" w:space="0" w:color="auto"/>
            </w:tcBorders>
          </w:tcPr>
          <w:p w:rsidR="000A3F2A" w:rsidRPr="00970E6D" w:rsidRDefault="000A3F2A" w:rsidP="00EE3714">
            <w:pPr>
              <w:tabs>
                <w:tab w:val="clear" w:pos="567"/>
                <w:tab w:val="clear" w:pos="1418"/>
                <w:tab w:val="clear" w:pos="2268"/>
                <w:tab w:val="clear" w:pos="2835"/>
              </w:tabs>
            </w:pPr>
            <w:r w:rsidRPr="00970E6D">
              <w:lastRenderedPageBreak/>
              <w:t>Paper issued</w:t>
            </w:r>
          </w:p>
        </w:tc>
        <w:tc>
          <w:tcPr>
            <w:tcW w:w="3395" w:type="pct"/>
            <w:tcBorders>
              <w:top w:val="single" w:sz="4" w:space="0" w:color="auto"/>
              <w:left w:val="single" w:sz="4" w:space="0" w:color="auto"/>
              <w:bottom w:val="single" w:sz="4" w:space="0" w:color="auto"/>
              <w:right w:val="single" w:sz="4" w:space="0" w:color="auto"/>
            </w:tcBorders>
          </w:tcPr>
          <w:p w:rsidR="000A3F2A" w:rsidRPr="00970E6D" w:rsidRDefault="007F4217" w:rsidP="007F4217">
            <w:pPr>
              <w:tabs>
                <w:tab w:val="clear" w:pos="567"/>
                <w:tab w:val="clear" w:pos="1418"/>
                <w:tab w:val="clear" w:pos="2268"/>
                <w:tab w:val="clear" w:pos="2835"/>
              </w:tabs>
            </w:pPr>
            <w:r>
              <w:t>23</w:t>
            </w:r>
            <w:r w:rsidR="000A3F2A" w:rsidRPr="00970E6D">
              <w:t xml:space="preserve"> </w:t>
            </w:r>
            <w:r>
              <w:t xml:space="preserve">April </w:t>
            </w:r>
            <w:r w:rsidR="000A3F2A" w:rsidRPr="00970E6D">
              <w:t>20</w:t>
            </w:r>
            <w:r>
              <w:t>13</w:t>
            </w:r>
          </w:p>
        </w:tc>
      </w:tr>
      <w:tr w:rsidR="000A3F2A" w:rsidRPr="00970E6D" w:rsidTr="00EE3714">
        <w:tc>
          <w:tcPr>
            <w:tcW w:w="1605" w:type="pct"/>
            <w:tcBorders>
              <w:top w:val="single" w:sz="4" w:space="0" w:color="auto"/>
              <w:left w:val="single" w:sz="4" w:space="0" w:color="auto"/>
              <w:bottom w:val="single" w:sz="4" w:space="0" w:color="auto"/>
              <w:right w:val="single" w:sz="4" w:space="0" w:color="auto"/>
            </w:tcBorders>
          </w:tcPr>
          <w:p w:rsidR="000A3F2A" w:rsidRPr="00970E6D" w:rsidRDefault="000A3F2A" w:rsidP="00EE3714">
            <w:pPr>
              <w:tabs>
                <w:tab w:val="clear" w:pos="567"/>
                <w:tab w:val="clear" w:pos="1418"/>
                <w:tab w:val="clear" w:pos="2268"/>
                <w:tab w:val="clear" w:pos="2835"/>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0A3F2A" w:rsidRPr="00970E6D" w:rsidRDefault="007F4217" w:rsidP="007F4217">
            <w:pPr>
              <w:tabs>
                <w:tab w:val="clear" w:pos="567"/>
                <w:tab w:val="clear" w:pos="1418"/>
                <w:tab w:val="clear" w:pos="2268"/>
                <w:tab w:val="clear" w:pos="2835"/>
              </w:tabs>
            </w:pPr>
            <w:r>
              <w:t xml:space="preserve">Tim Carlton (02) 6229 8893 </w:t>
            </w:r>
            <w:hyperlink r:id="rId12" w:history="1">
              <w:r w:rsidRPr="00E076F2">
                <w:rPr>
                  <w:rStyle w:val="Hyperlink"/>
                </w:rPr>
                <w:t>Tim.Carlton@cgc.gov.au</w:t>
              </w:r>
            </w:hyperlink>
          </w:p>
        </w:tc>
      </w:tr>
      <w:tr w:rsidR="000A3F2A" w:rsidRPr="00970E6D" w:rsidTr="00EE3714">
        <w:tc>
          <w:tcPr>
            <w:tcW w:w="1605" w:type="pct"/>
            <w:tcBorders>
              <w:top w:val="single" w:sz="4" w:space="0" w:color="auto"/>
              <w:left w:val="single" w:sz="4" w:space="0" w:color="auto"/>
              <w:bottom w:val="single" w:sz="4" w:space="0" w:color="auto"/>
              <w:right w:val="single" w:sz="4" w:space="0" w:color="auto"/>
            </w:tcBorders>
          </w:tcPr>
          <w:p w:rsidR="000A3F2A" w:rsidRPr="00970E6D" w:rsidRDefault="000A3F2A" w:rsidP="00EE3714">
            <w:pPr>
              <w:tabs>
                <w:tab w:val="clear" w:pos="567"/>
                <w:tab w:val="clear" w:pos="1418"/>
                <w:tab w:val="clear" w:pos="2268"/>
                <w:tab w:val="clear" w:pos="2835"/>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0A3F2A" w:rsidRPr="00970E6D" w:rsidRDefault="007F4217" w:rsidP="00EE3714">
            <w:pPr>
              <w:tabs>
                <w:tab w:val="clear" w:pos="567"/>
                <w:tab w:val="clear" w:pos="1418"/>
                <w:tab w:val="clear" w:pos="2268"/>
                <w:tab w:val="clear" w:pos="2835"/>
              </w:tabs>
            </w:pPr>
            <w:r>
              <w:t>31 May 2013</w:t>
            </w:r>
            <w:r w:rsidR="000A3F2A" w:rsidRPr="00970E6D">
              <w:t xml:space="preserve">.  </w:t>
            </w:r>
            <w:r>
              <w:t>S</w:t>
            </w:r>
            <w:r w:rsidR="000A3F2A" w:rsidRPr="00970E6D">
              <w:t xml:space="preserve">ubmissions should be emailed in Word format to </w:t>
            </w:r>
            <w:hyperlink r:id="rId13" w:history="1">
              <w:r w:rsidR="000A3F2A" w:rsidRPr="00970E6D">
                <w:rPr>
                  <w:rStyle w:val="Hyperlink"/>
                </w:rPr>
                <w:t>secretary@cgc.gov.au</w:t>
              </w:r>
            </w:hyperlink>
            <w:r w:rsidR="000A3F2A" w:rsidRPr="00970E6D">
              <w:t xml:space="preserve"> .</w:t>
            </w:r>
          </w:p>
          <w:p w:rsidR="000A3F2A" w:rsidRPr="00970E6D" w:rsidRDefault="000A3F2A" w:rsidP="00EE3714">
            <w:pPr>
              <w:tabs>
                <w:tab w:val="clear" w:pos="567"/>
                <w:tab w:val="clear" w:pos="1418"/>
                <w:tab w:val="clear" w:pos="2268"/>
                <w:tab w:val="clear" w:pos="2835"/>
              </w:tabs>
            </w:pPr>
            <w:r w:rsidRPr="00970E6D">
              <w:t xml:space="preserve">Submissions of more than </w:t>
            </w:r>
            <w:r>
              <w:t>10</w:t>
            </w:r>
            <w:r w:rsidRPr="00970E6D">
              <w:t xml:space="preserve"> pages in length should include a summary section.</w:t>
            </w:r>
          </w:p>
        </w:tc>
      </w:tr>
      <w:tr w:rsidR="000A3F2A" w:rsidRPr="00970E6D" w:rsidTr="00EE3714">
        <w:tc>
          <w:tcPr>
            <w:tcW w:w="1605" w:type="pct"/>
            <w:tcBorders>
              <w:top w:val="single" w:sz="4" w:space="0" w:color="auto"/>
              <w:left w:val="single" w:sz="4" w:space="0" w:color="auto"/>
              <w:bottom w:val="single" w:sz="4" w:space="0" w:color="auto"/>
              <w:right w:val="single" w:sz="4" w:space="0" w:color="auto"/>
            </w:tcBorders>
          </w:tcPr>
          <w:p w:rsidR="000A3F2A" w:rsidRPr="00970E6D" w:rsidRDefault="000A3F2A" w:rsidP="00EE3714">
            <w:pPr>
              <w:tabs>
                <w:tab w:val="clear" w:pos="567"/>
                <w:tab w:val="clear" w:pos="1418"/>
                <w:tab w:val="clear" w:pos="2268"/>
                <w:tab w:val="clear" w:pos="2835"/>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0A3F2A" w:rsidRPr="00CF1294" w:rsidRDefault="000A3F2A" w:rsidP="00EE3714">
            <w:pPr>
              <w:tabs>
                <w:tab w:val="clear" w:pos="567"/>
                <w:tab w:val="clear" w:pos="1418"/>
                <w:tab w:val="clear" w:pos="2268"/>
                <w:tab w:val="clear" w:pos="2835"/>
              </w:tabs>
            </w:pPr>
            <w:r w:rsidRPr="00CF1294">
              <w:t xml:space="preserve">It is the commission’s normal practice to make State submissions available on its website under the CC BY licence, allowing free use of content by third parties. </w:t>
            </w:r>
          </w:p>
          <w:p w:rsidR="000A3F2A" w:rsidRPr="00CF1294" w:rsidRDefault="000A3F2A" w:rsidP="00EE3714">
            <w:pPr>
              <w:tabs>
                <w:tab w:val="clear" w:pos="567"/>
                <w:tab w:val="clear" w:pos="1418"/>
                <w:tab w:val="clear" w:pos="2268"/>
                <w:tab w:val="clear" w:pos="2835"/>
              </w:tabs>
            </w:pPr>
            <w:r w:rsidRPr="00CF1294">
              <w:rPr>
                <w:noProof/>
                <w:lang w:eastAsia="en-AU"/>
              </w:rPr>
              <w:drawing>
                <wp:inline distT="0" distB="0" distL="0" distR="0" wp14:anchorId="30D08B85" wp14:editId="4B854D99">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0A3F2A" w:rsidRPr="00CF1294" w:rsidRDefault="000A3F2A" w:rsidP="00EE3714">
            <w:pPr>
              <w:tabs>
                <w:tab w:val="clear" w:pos="567"/>
                <w:tab w:val="clear" w:pos="1418"/>
                <w:tab w:val="clear" w:pos="2268"/>
                <w:tab w:val="clear" w:pos="2835"/>
              </w:tabs>
            </w:pPr>
            <w:r w:rsidRPr="00CF1294">
              <w:t xml:space="preserve">Further information on the CC BY licence can be found at </w:t>
            </w:r>
            <w:hyperlink r:id="rId15" w:history="1">
              <w:r w:rsidRPr="00CF1294">
                <w:rPr>
                  <w:rStyle w:val="Hyperlink"/>
                </w:rPr>
                <w:t>http://www.creativecommons.org</w:t>
              </w:r>
            </w:hyperlink>
            <w:r w:rsidRPr="00CF1294">
              <w:t xml:space="preserve"> </w:t>
            </w:r>
          </w:p>
          <w:p w:rsidR="000A3F2A" w:rsidRPr="00970E6D" w:rsidRDefault="000A3F2A" w:rsidP="00EE3714">
            <w:pPr>
              <w:tabs>
                <w:tab w:val="clear" w:pos="567"/>
                <w:tab w:val="clear" w:pos="1418"/>
                <w:tab w:val="clear" w:pos="2268"/>
                <w:tab w:val="clear" w:pos="2835"/>
              </w:tabs>
            </w:pPr>
            <w:r w:rsidRPr="00CF1294">
              <w:t>Confidential material contained in submissions must be clearly identified or included in separate attachment/s, and details provided in the covering email. Identified confidential material will not be published on the commission’s website.</w:t>
            </w:r>
          </w:p>
        </w:tc>
      </w:tr>
    </w:tbl>
    <w:p w:rsidR="000A3F2A" w:rsidRPr="00970E6D" w:rsidRDefault="000A3F2A" w:rsidP="000A3F2A">
      <w:pPr>
        <w:tabs>
          <w:tab w:val="clear" w:pos="567"/>
        </w:tabs>
        <w:sectPr w:rsidR="000A3F2A" w:rsidRPr="00970E6D" w:rsidSect="00EE3714">
          <w:headerReference w:type="first" r:id="rId16"/>
          <w:footerReference w:type="first" r:id="rId17"/>
          <w:pgSz w:w="11899" w:h="16838" w:code="9"/>
          <w:pgMar w:top="1701" w:right="1474" w:bottom="1701" w:left="1474" w:header="709" w:footer="709" w:gutter="0"/>
          <w:cols w:space="708"/>
          <w:vAlign w:val="bottom"/>
          <w:titlePg/>
          <w:docGrid w:linePitch="299"/>
        </w:sectPr>
      </w:pPr>
    </w:p>
    <w:p w:rsidR="000A3F2A" w:rsidRPr="00970E6D" w:rsidRDefault="000A3F2A" w:rsidP="000A3F2A">
      <w:pPr>
        <w:pStyle w:val="Heading1"/>
      </w:pPr>
      <w:bookmarkStart w:id="7" w:name="_Toc354414561"/>
      <w:bookmarkStart w:id="8" w:name="_Toc354415050"/>
      <w:r w:rsidRPr="00970E6D">
        <w:lastRenderedPageBreak/>
        <w:t>CONTENTS</w:t>
      </w:r>
      <w:bookmarkEnd w:id="0"/>
      <w:bookmarkEnd w:id="1"/>
      <w:bookmarkEnd w:id="2"/>
      <w:bookmarkEnd w:id="3"/>
      <w:bookmarkEnd w:id="4"/>
      <w:bookmarkEnd w:id="5"/>
      <w:bookmarkEnd w:id="7"/>
      <w:bookmarkEnd w:id="8"/>
    </w:p>
    <w:p w:rsidR="000A3F2A" w:rsidRPr="00970E6D" w:rsidRDefault="000A3F2A" w:rsidP="000A3F2A">
      <w:pPr>
        <w:tabs>
          <w:tab w:val="clear" w:pos="567"/>
        </w:tabs>
      </w:pPr>
    </w:p>
    <w:p w:rsidR="000A3F2A" w:rsidRPr="00970E6D" w:rsidRDefault="000A3F2A" w:rsidP="000A3F2A">
      <w:pPr>
        <w:tabs>
          <w:tab w:val="clear" w:pos="567"/>
        </w:tabs>
      </w:pPr>
    </w:p>
    <w:p w:rsidR="000A3F2A" w:rsidRPr="00970E6D" w:rsidRDefault="000A3F2A" w:rsidP="000A3F2A">
      <w:pPr>
        <w:tabs>
          <w:tab w:val="clear" w:pos="567"/>
        </w:tabs>
      </w:pPr>
    </w:p>
    <w:p w:rsidR="00167D3A" w:rsidRDefault="005255E7">
      <w:pPr>
        <w:pStyle w:val="TOC1"/>
        <w:rPr>
          <w:rFonts w:eastAsiaTheme="minorEastAsia"/>
          <w:b w:val="0"/>
          <w:bCs w:val="0"/>
          <w:caps w:val="0"/>
          <w:noProof/>
          <w:sz w:val="22"/>
          <w:szCs w:val="22"/>
          <w:lang w:eastAsia="en-AU"/>
        </w:rPr>
      </w:pPr>
      <w:r>
        <w:fldChar w:fldCharType="begin"/>
      </w:r>
      <w:r>
        <w:instrText xml:space="preserve"> TOC \f \h \z \u \t "Heading 3,1,Heading 4,2" </w:instrText>
      </w:r>
      <w:r>
        <w:fldChar w:fldCharType="separate"/>
      </w:r>
      <w:hyperlink w:anchor="_Toc354495572" w:history="1">
        <w:r w:rsidR="00167D3A" w:rsidRPr="00183F99">
          <w:rPr>
            <w:rStyle w:val="Hyperlink"/>
            <w:noProof/>
          </w:rPr>
          <w:t>Introduction</w:t>
        </w:r>
        <w:r w:rsidR="00167D3A">
          <w:rPr>
            <w:noProof/>
            <w:webHidden/>
          </w:rPr>
          <w:tab/>
        </w:r>
        <w:r w:rsidR="00167D3A">
          <w:rPr>
            <w:noProof/>
            <w:webHidden/>
          </w:rPr>
          <w:fldChar w:fldCharType="begin"/>
        </w:r>
        <w:r w:rsidR="00167D3A">
          <w:rPr>
            <w:noProof/>
            <w:webHidden/>
          </w:rPr>
          <w:instrText xml:space="preserve"> PAGEREF _Toc354495572 \h </w:instrText>
        </w:r>
        <w:r w:rsidR="00167D3A">
          <w:rPr>
            <w:noProof/>
            <w:webHidden/>
          </w:rPr>
        </w:r>
        <w:r w:rsidR="00167D3A">
          <w:rPr>
            <w:noProof/>
            <w:webHidden/>
          </w:rPr>
          <w:fldChar w:fldCharType="separate"/>
        </w:r>
        <w:r w:rsidR="00167D3A">
          <w:rPr>
            <w:noProof/>
            <w:webHidden/>
          </w:rPr>
          <w:t>1</w:t>
        </w:r>
        <w:r w:rsidR="00167D3A">
          <w:rPr>
            <w:noProof/>
            <w:webHidden/>
          </w:rPr>
          <w:fldChar w:fldCharType="end"/>
        </w:r>
      </w:hyperlink>
    </w:p>
    <w:p w:rsidR="00167D3A" w:rsidRDefault="002C4517">
      <w:pPr>
        <w:pStyle w:val="TOC1"/>
        <w:rPr>
          <w:rFonts w:eastAsiaTheme="minorEastAsia"/>
          <w:b w:val="0"/>
          <w:bCs w:val="0"/>
          <w:caps w:val="0"/>
          <w:noProof/>
          <w:sz w:val="22"/>
          <w:szCs w:val="22"/>
          <w:lang w:eastAsia="en-AU"/>
        </w:rPr>
      </w:pPr>
      <w:hyperlink w:anchor="_Toc354495573" w:history="1">
        <w:r w:rsidR="00167D3A" w:rsidRPr="00183F99">
          <w:rPr>
            <w:rStyle w:val="Hyperlink"/>
            <w:noProof/>
          </w:rPr>
          <w:t>Differences between SARIA and ARIA</w:t>
        </w:r>
        <w:r w:rsidR="00167D3A">
          <w:rPr>
            <w:noProof/>
            <w:webHidden/>
          </w:rPr>
          <w:tab/>
        </w:r>
        <w:r w:rsidR="00167D3A">
          <w:rPr>
            <w:noProof/>
            <w:webHidden/>
          </w:rPr>
          <w:fldChar w:fldCharType="begin"/>
        </w:r>
        <w:r w:rsidR="00167D3A">
          <w:rPr>
            <w:noProof/>
            <w:webHidden/>
          </w:rPr>
          <w:instrText xml:space="preserve"> PAGEREF _Toc354495573 \h </w:instrText>
        </w:r>
        <w:r w:rsidR="00167D3A">
          <w:rPr>
            <w:noProof/>
            <w:webHidden/>
          </w:rPr>
        </w:r>
        <w:r w:rsidR="00167D3A">
          <w:rPr>
            <w:noProof/>
            <w:webHidden/>
          </w:rPr>
          <w:fldChar w:fldCharType="separate"/>
        </w:r>
        <w:r w:rsidR="00167D3A">
          <w:rPr>
            <w:noProof/>
            <w:webHidden/>
          </w:rPr>
          <w:t>1</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74" w:history="1">
        <w:r w:rsidR="00167D3A" w:rsidRPr="00183F99">
          <w:rPr>
            <w:rStyle w:val="Hyperlink"/>
            <w:noProof/>
          </w:rPr>
          <w:t>Treatment of capital cities</w:t>
        </w:r>
        <w:r w:rsidR="00167D3A">
          <w:rPr>
            <w:noProof/>
            <w:webHidden/>
          </w:rPr>
          <w:tab/>
        </w:r>
        <w:r w:rsidR="00167D3A">
          <w:rPr>
            <w:noProof/>
            <w:webHidden/>
          </w:rPr>
          <w:fldChar w:fldCharType="begin"/>
        </w:r>
        <w:r w:rsidR="00167D3A">
          <w:rPr>
            <w:noProof/>
            <w:webHidden/>
          </w:rPr>
          <w:instrText xml:space="preserve"> PAGEREF _Toc354495574 \h </w:instrText>
        </w:r>
        <w:r w:rsidR="00167D3A">
          <w:rPr>
            <w:noProof/>
            <w:webHidden/>
          </w:rPr>
        </w:r>
        <w:r w:rsidR="00167D3A">
          <w:rPr>
            <w:noProof/>
            <w:webHidden/>
          </w:rPr>
          <w:fldChar w:fldCharType="separate"/>
        </w:r>
        <w:r w:rsidR="00167D3A">
          <w:rPr>
            <w:noProof/>
            <w:webHidden/>
          </w:rPr>
          <w:t>2</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75" w:history="1">
        <w:r w:rsidR="00167D3A" w:rsidRPr="00183F99">
          <w:rPr>
            <w:rStyle w:val="Hyperlink"/>
            <w:noProof/>
          </w:rPr>
          <w:t>Impermeable borders</w:t>
        </w:r>
        <w:r w:rsidR="00167D3A">
          <w:rPr>
            <w:noProof/>
            <w:webHidden/>
          </w:rPr>
          <w:tab/>
        </w:r>
        <w:r w:rsidR="00167D3A">
          <w:rPr>
            <w:noProof/>
            <w:webHidden/>
          </w:rPr>
          <w:fldChar w:fldCharType="begin"/>
        </w:r>
        <w:r w:rsidR="00167D3A">
          <w:rPr>
            <w:noProof/>
            <w:webHidden/>
          </w:rPr>
          <w:instrText xml:space="preserve"> PAGEREF _Toc354495575 \h </w:instrText>
        </w:r>
        <w:r w:rsidR="00167D3A">
          <w:rPr>
            <w:noProof/>
            <w:webHidden/>
          </w:rPr>
        </w:r>
        <w:r w:rsidR="00167D3A">
          <w:rPr>
            <w:noProof/>
            <w:webHidden/>
          </w:rPr>
          <w:fldChar w:fldCharType="separate"/>
        </w:r>
        <w:r w:rsidR="00167D3A">
          <w:rPr>
            <w:noProof/>
            <w:webHidden/>
          </w:rPr>
          <w:t>5</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76" w:history="1">
        <w:r w:rsidR="00167D3A" w:rsidRPr="00183F99">
          <w:rPr>
            <w:rStyle w:val="Hyperlink"/>
            <w:noProof/>
          </w:rPr>
          <w:t>Truncation of ratios</w:t>
        </w:r>
        <w:r w:rsidR="00167D3A">
          <w:rPr>
            <w:noProof/>
            <w:webHidden/>
          </w:rPr>
          <w:tab/>
        </w:r>
        <w:r w:rsidR="00167D3A">
          <w:rPr>
            <w:noProof/>
            <w:webHidden/>
          </w:rPr>
          <w:fldChar w:fldCharType="begin"/>
        </w:r>
        <w:r w:rsidR="00167D3A">
          <w:rPr>
            <w:noProof/>
            <w:webHidden/>
          </w:rPr>
          <w:instrText xml:space="preserve"> PAGEREF _Toc354495576 \h </w:instrText>
        </w:r>
        <w:r w:rsidR="00167D3A">
          <w:rPr>
            <w:noProof/>
            <w:webHidden/>
          </w:rPr>
        </w:r>
        <w:r w:rsidR="00167D3A">
          <w:rPr>
            <w:noProof/>
            <w:webHidden/>
          </w:rPr>
          <w:fldChar w:fldCharType="separate"/>
        </w:r>
        <w:r w:rsidR="00167D3A">
          <w:rPr>
            <w:noProof/>
            <w:webHidden/>
          </w:rPr>
          <w:t>6</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77" w:history="1">
        <w:r w:rsidR="00167D3A" w:rsidRPr="00183F99">
          <w:rPr>
            <w:rStyle w:val="Hyperlink"/>
            <w:noProof/>
          </w:rPr>
          <w:t>Population estimates</w:t>
        </w:r>
        <w:r w:rsidR="00167D3A">
          <w:rPr>
            <w:noProof/>
            <w:webHidden/>
          </w:rPr>
          <w:tab/>
        </w:r>
        <w:r w:rsidR="00167D3A">
          <w:rPr>
            <w:noProof/>
            <w:webHidden/>
          </w:rPr>
          <w:fldChar w:fldCharType="begin"/>
        </w:r>
        <w:r w:rsidR="00167D3A">
          <w:rPr>
            <w:noProof/>
            <w:webHidden/>
          </w:rPr>
          <w:instrText xml:space="preserve"> PAGEREF _Toc354495577 \h </w:instrText>
        </w:r>
        <w:r w:rsidR="00167D3A">
          <w:rPr>
            <w:noProof/>
            <w:webHidden/>
          </w:rPr>
        </w:r>
        <w:r w:rsidR="00167D3A">
          <w:rPr>
            <w:noProof/>
            <w:webHidden/>
          </w:rPr>
          <w:fldChar w:fldCharType="separate"/>
        </w:r>
        <w:r w:rsidR="00167D3A">
          <w:rPr>
            <w:noProof/>
            <w:webHidden/>
          </w:rPr>
          <w:t>7</w:t>
        </w:r>
        <w:r w:rsidR="00167D3A">
          <w:rPr>
            <w:noProof/>
            <w:webHidden/>
          </w:rPr>
          <w:fldChar w:fldCharType="end"/>
        </w:r>
      </w:hyperlink>
    </w:p>
    <w:p w:rsidR="00167D3A" w:rsidRDefault="002C4517">
      <w:pPr>
        <w:pStyle w:val="TOC1"/>
        <w:rPr>
          <w:rFonts w:eastAsiaTheme="minorEastAsia"/>
          <w:b w:val="0"/>
          <w:bCs w:val="0"/>
          <w:caps w:val="0"/>
          <w:noProof/>
          <w:sz w:val="22"/>
          <w:szCs w:val="22"/>
          <w:lang w:eastAsia="en-AU"/>
        </w:rPr>
      </w:pPr>
      <w:hyperlink w:anchor="_Toc354495578" w:history="1">
        <w:r w:rsidR="00167D3A" w:rsidRPr="00183F99">
          <w:rPr>
            <w:rStyle w:val="Hyperlink"/>
            <w:noProof/>
          </w:rPr>
          <w:t>Other criteria for determining CGC classification of remoteness</w:t>
        </w:r>
        <w:r w:rsidR="00167D3A">
          <w:rPr>
            <w:noProof/>
            <w:webHidden/>
          </w:rPr>
          <w:tab/>
        </w:r>
        <w:r w:rsidR="00167D3A">
          <w:rPr>
            <w:noProof/>
            <w:webHidden/>
          </w:rPr>
          <w:fldChar w:fldCharType="begin"/>
        </w:r>
        <w:r w:rsidR="00167D3A">
          <w:rPr>
            <w:noProof/>
            <w:webHidden/>
          </w:rPr>
          <w:instrText xml:space="preserve"> PAGEREF _Toc354495578 \h </w:instrText>
        </w:r>
        <w:r w:rsidR="00167D3A">
          <w:rPr>
            <w:noProof/>
            <w:webHidden/>
          </w:rPr>
        </w:r>
        <w:r w:rsidR="00167D3A">
          <w:rPr>
            <w:noProof/>
            <w:webHidden/>
          </w:rPr>
          <w:fldChar w:fldCharType="separate"/>
        </w:r>
        <w:r w:rsidR="00167D3A">
          <w:rPr>
            <w:noProof/>
            <w:webHidden/>
          </w:rPr>
          <w:t>8</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79" w:history="1">
        <w:r w:rsidR="00167D3A" w:rsidRPr="00183F99">
          <w:rPr>
            <w:rStyle w:val="Hyperlink"/>
            <w:noProof/>
          </w:rPr>
          <w:t>Impact on interstate freight assessment</w:t>
        </w:r>
        <w:r w:rsidR="00167D3A">
          <w:rPr>
            <w:noProof/>
            <w:webHidden/>
          </w:rPr>
          <w:tab/>
        </w:r>
        <w:r w:rsidR="00167D3A">
          <w:rPr>
            <w:noProof/>
            <w:webHidden/>
          </w:rPr>
          <w:fldChar w:fldCharType="begin"/>
        </w:r>
        <w:r w:rsidR="00167D3A">
          <w:rPr>
            <w:noProof/>
            <w:webHidden/>
          </w:rPr>
          <w:instrText xml:space="preserve"> PAGEREF _Toc354495579 \h </w:instrText>
        </w:r>
        <w:r w:rsidR="00167D3A">
          <w:rPr>
            <w:noProof/>
            <w:webHidden/>
          </w:rPr>
        </w:r>
        <w:r w:rsidR="00167D3A">
          <w:rPr>
            <w:noProof/>
            <w:webHidden/>
          </w:rPr>
          <w:fldChar w:fldCharType="separate"/>
        </w:r>
        <w:r w:rsidR="00167D3A">
          <w:rPr>
            <w:noProof/>
            <w:webHidden/>
          </w:rPr>
          <w:t>8</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80" w:history="1">
        <w:r w:rsidR="00167D3A" w:rsidRPr="00183F99">
          <w:rPr>
            <w:rStyle w:val="Hyperlink"/>
            <w:noProof/>
          </w:rPr>
          <w:t>Standard geography</w:t>
        </w:r>
        <w:r w:rsidR="00167D3A">
          <w:rPr>
            <w:noProof/>
            <w:webHidden/>
          </w:rPr>
          <w:tab/>
        </w:r>
        <w:r w:rsidR="00167D3A">
          <w:rPr>
            <w:noProof/>
            <w:webHidden/>
          </w:rPr>
          <w:fldChar w:fldCharType="begin"/>
        </w:r>
        <w:r w:rsidR="00167D3A">
          <w:rPr>
            <w:noProof/>
            <w:webHidden/>
          </w:rPr>
          <w:instrText xml:space="preserve"> PAGEREF _Toc354495580 \h </w:instrText>
        </w:r>
        <w:r w:rsidR="00167D3A">
          <w:rPr>
            <w:noProof/>
            <w:webHidden/>
          </w:rPr>
        </w:r>
        <w:r w:rsidR="00167D3A">
          <w:rPr>
            <w:noProof/>
            <w:webHidden/>
          </w:rPr>
          <w:fldChar w:fldCharType="separate"/>
        </w:r>
        <w:r w:rsidR="00167D3A">
          <w:rPr>
            <w:noProof/>
            <w:webHidden/>
          </w:rPr>
          <w:t>8</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81" w:history="1">
        <w:r w:rsidR="00167D3A" w:rsidRPr="00183F99">
          <w:rPr>
            <w:rStyle w:val="Hyperlink"/>
            <w:noProof/>
          </w:rPr>
          <w:t>Impact</w:t>
        </w:r>
        <w:r w:rsidR="00167D3A">
          <w:rPr>
            <w:noProof/>
            <w:webHidden/>
          </w:rPr>
          <w:tab/>
        </w:r>
        <w:r w:rsidR="00167D3A">
          <w:rPr>
            <w:noProof/>
            <w:webHidden/>
          </w:rPr>
          <w:fldChar w:fldCharType="begin"/>
        </w:r>
        <w:r w:rsidR="00167D3A">
          <w:rPr>
            <w:noProof/>
            <w:webHidden/>
          </w:rPr>
          <w:instrText xml:space="preserve"> PAGEREF _Toc354495581 \h </w:instrText>
        </w:r>
        <w:r w:rsidR="00167D3A">
          <w:rPr>
            <w:noProof/>
            <w:webHidden/>
          </w:rPr>
        </w:r>
        <w:r w:rsidR="00167D3A">
          <w:rPr>
            <w:noProof/>
            <w:webHidden/>
          </w:rPr>
          <w:fldChar w:fldCharType="separate"/>
        </w:r>
        <w:r w:rsidR="00167D3A">
          <w:rPr>
            <w:noProof/>
            <w:webHidden/>
          </w:rPr>
          <w:t>8</w:t>
        </w:r>
        <w:r w:rsidR="00167D3A">
          <w:rPr>
            <w:noProof/>
            <w:webHidden/>
          </w:rPr>
          <w:fldChar w:fldCharType="end"/>
        </w:r>
      </w:hyperlink>
    </w:p>
    <w:p w:rsidR="00167D3A" w:rsidRDefault="002C4517">
      <w:pPr>
        <w:pStyle w:val="TOC1"/>
        <w:rPr>
          <w:rFonts w:eastAsiaTheme="minorEastAsia"/>
          <w:b w:val="0"/>
          <w:bCs w:val="0"/>
          <w:caps w:val="0"/>
          <w:noProof/>
          <w:sz w:val="22"/>
          <w:szCs w:val="22"/>
          <w:lang w:eastAsia="en-AU"/>
        </w:rPr>
      </w:pPr>
      <w:hyperlink w:anchor="_Toc354495582" w:history="1">
        <w:r w:rsidR="00167D3A" w:rsidRPr="00183F99">
          <w:rPr>
            <w:rStyle w:val="Hyperlink"/>
            <w:noProof/>
          </w:rPr>
          <w:t>Conclusions</w:t>
        </w:r>
        <w:r w:rsidR="00167D3A">
          <w:rPr>
            <w:noProof/>
            <w:webHidden/>
          </w:rPr>
          <w:tab/>
        </w:r>
        <w:r w:rsidR="00167D3A">
          <w:rPr>
            <w:noProof/>
            <w:webHidden/>
          </w:rPr>
          <w:fldChar w:fldCharType="begin"/>
        </w:r>
        <w:r w:rsidR="00167D3A">
          <w:rPr>
            <w:noProof/>
            <w:webHidden/>
          </w:rPr>
          <w:instrText xml:space="preserve"> PAGEREF _Toc354495582 \h </w:instrText>
        </w:r>
        <w:r w:rsidR="00167D3A">
          <w:rPr>
            <w:noProof/>
            <w:webHidden/>
          </w:rPr>
        </w:r>
        <w:r w:rsidR="00167D3A">
          <w:rPr>
            <w:noProof/>
            <w:webHidden/>
          </w:rPr>
          <w:fldChar w:fldCharType="separate"/>
        </w:r>
        <w:r w:rsidR="00167D3A">
          <w:rPr>
            <w:noProof/>
            <w:webHidden/>
          </w:rPr>
          <w:t>10</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83" w:history="1">
        <w:r w:rsidR="00167D3A" w:rsidRPr="00183F99">
          <w:rPr>
            <w:rStyle w:val="Hyperlink"/>
            <w:noProof/>
          </w:rPr>
          <w:t>Options</w:t>
        </w:r>
        <w:r w:rsidR="00167D3A">
          <w:rPr>
            <w:noProof/>
            <w:webHidden/>
          </w:rPr>
          <w:tab/>
        </w:r>
        <w:r w:rsidR="00167D3A">
          <w:rPr>
            <w:noProof/>
            <w:webHidden/>
          </w:rPr>
          <w:fldChar w:fldCharType="begin"/>
        </w:r>
        <w:r w:rsidR="00167D3A">
          <w:rPr>
            <w:noProof/>
            <w:webHidden/>
          </w:rPr>
          <w:instrText xml:space="preserve"> PAGEREF _Toc354495583 \h </w:instrText>
        </w:r>
        <w:r w:rsidR="00167D3A">
          <w:rPr>
            <w:noProof/>
            <w:webHidden/>
          </w:rPr>
        </w:r>
        <w:r w:rsidR="00167D3A">
          <w:rPr>
            <w:noProof/>
            <w:webHidden/>
          </w:rPr>
          <w:fldChar w:fldCharType="separate"/>
        </w:r>
        <w:r w:rsidR="00167D3A">
          <w:rPr>
            <w:noProof/>
            <w:webHidden/>
          </w:rPr>
          <w:t>10</w:t>
        </w:r>
        <w:r w:rsidR="00167D3A">
          <w:rPr>
            <w:noProof/>
            <w:webHidden/>
          </w:rPr>
          <w:fldChar w:fldCharType="end"/>
        </w:r>
      </w:hyperlink>
    </w:p>
    <w:p w:rsidR="00167D3A" w:rsidRDefault="002C4517">
      <w:pPr>
        <w:pStyle w:val="TOC2"/>
        <w:rPr>
          <w:rFonts w:eastAsiaTheme="minorEastAsia"/>
          <w:noProof/>
          <w:sz w:val="22"/>
          <w:szCs w:val="22"/>
          <w:lang w:eastAsia="en-AU"/>
        </w:rPr>
      </w:pPr>
      <w:hyperlink w:anchor="_Toc354495584" w:history="1">
        <w:r w:rsidR="00167D3A" w:rsidRPr="00183F99">
          <w:rPr>
            <w:rStyle w:val="Hyperlink"/>
            <w:noProof/>
          </w:rPr>
          <w:t>Consultation</w:t>
        </w:r>
        <w:r w:rsidR="00167D3A">
          <w:rPr>
            <w:noProof/>
            <w:webHidden/>
          </w:rPr>
          <w:tab/>
        </w:r>
        <w:r w:rsidR="00167D3A">
          <w:rPr>
            <w:noProof/>
            <w:webHidden/>
          </w:rPr>
          <w:fldChar w:fldCharType="begin"/>
        </w:r>
        <w:r w:rsidR="00167D3A">
          <w:rPr>
            <w:noProof/>
            <w:webHidden/>
          </w:rPr>
          <w:instrText xml:space="preserve"> PAGEREF _Toc354495584 \h </w:instrText>
        </w:r>
        <w:r w:rsidR="00167D3A">
          <w:rPr>
            <w:noProof/>
            <w:webHidden/>
          </w:rPr>
        </w:r>
        <w:r w:rsidR="00167D3A">
          <w:rPr>
            <w:noProof/>
            <w:webHidden/>
          </w:rPr>
          <w:fldChar w:fldCharType="separate"/>
        </w:r>
        <w:r w:rsidR="00167D3A">
          <w:rPr>
            <w:noProof/>
            <w:webHidden/>
          </w:rPr>
          <w:t>10</w:t>
        </w:r>
        <w:r w:rsidR="00167D3A">
          <w:rPr>
            <w:noProof/>
            <w:webHidden/>
          </w:rPr>
          <w:fldChar w:fldCharType="end"/>
        </w:r>
      </w:hyperlink>
    </w:p>
    <w:p w:rsidR="000A3F2A" w:rsidRPr="00970E6D" w:rsidRDefault="005255E7" w:rsidP="000A3F2A">
      <w:pPr>
        <w:tabs>
          <w:tab w:val="clear" w:pos="567"/>
        </w:tabs>
        <w:sectPr w:rsidR="000A3F2A" w:rsidRPr="00970E6D" w:rsidSect="00EE3714">
          <w:headerReference w:type="first" r:id="rId18"/>
          <w:footerReference w:type="first" r:id="rId19"/>
          <w:pgSz w:w="11899" w:h="16838" w:code="9"/>
          <w:pgMar w:top="1701" w:right="1474" w:bottom="1701" w:left="1474" w:header="709" w:footer="709" w:gutter="0"/>
          <w:pgNumType w:fmt="lowerRoman" w:start="1"/>
          <w:cols w:space="708"/>
          <w:titlePg/>
          <w:docGrid w:linePitch="299"/>
        </w:sectPr>
      </w:pPr>
      <w:r>
        <w:fldChar w:fldCharType="end"/>
      </w:r>
    </w:p>
    <w:p w:rsidR="006D7BC4" w:rsidRDefault="006D7BC4" w:rsidP="006D7BC4">
      <w:pPr>
        <w:pStyle w:val="Heading3"/>
      </w:pPr>
      <w:bookmarkStart w:id="9" w:name="_Toc354414562"/>
      <w:bookmarkStart w:id="10" w:name="_Toc354415051"/>
      <w:bookmarkStart w:id="11" w:name="_Toc354495572"/>
      <w:bookmarkStart w:id="12" w:name="_Toc351712269"/>
      <w:r>
        <w:lastRenderedPageBreak/>
        <w:t>Introduction</w:t>
      </w:r>
      <w:bookmarkEnd w:id="9"/>
      <w:bookmarkEnd w:id="10"/>
      <w:bookmarkEnd w:id="11"/>
    </w:p>
    <w:p w:rsidR="00493098" w:rsidRDefault="00493098" w:rsidP="00FE1EA2">
      <w:pPr>
        <w:pStyle w:val="CGCNumberedPara"/>
      </w:pPr>
      <w:r>
        <w:t xml:space="preserve">Following the release of the census, and in advance of being able to gather data, we need to determine our geographic classifications. In particular, at this stage of the census cycle, we would normally commission a new version of our remoteness classification </w:t>
      </w:r>
      <w:r w:rsidR="00167D3A">
        <w:t xml:space="preserve">— </w:t>
      </w:r>
      <w:r>
        <w:t>State based Accessibility and Remoteness Index of Australia</w:t>
      </w:r>
      <w:r w:rsidR="00167D3A">
        <w:t xml:space="preserve"> (SARIA</w:t>
      </w:r>
      <w:r>
        <w:t xml:space="preserve">). </w:t>
      </w:r>
    </w:p>
    <w:p w:rsidR="00FE1EA2" w:rsidRDefault="00493098" w:rsidP="00493098">
      <w:pPr>
        <w:pStyle w:val="CGCNumberedPara"/>
      </w:pPr>
      <w:r>
        <w:t xml:space="preserve">We would like to consider a range of issues </w:t>
      </w:r>
      <w:r w:rsidR="006D7BC4">
        <w:t>to ensure</w:t>
      </w:r>
      <w:r>
        <w:t xml:space="preserve"> that our specifications for SARIA </w:t>
      </w:r>
      <w:r w:rsidR="006D7BC4">
        <w:t xml:space="preserve">mean </w:t>
      </w:r>
      <w:r>
        <w:t xml:space="preserve">that it best reflects the drivers of the cost of providing State services. </w:t>
      </w:r>
      <w:r w:rsidR="006D7BC4">
        <w:t>W</w:t>
      </w:r>
      <w:r>
        <w:t xml:space="preserve">e would like to consider the continued relevance of each of the key differences between SARIA and ABS remoteness areas (or ARIA). </w:t>
      </w:r>
    </w:p>
    <w:p w:rsidR="00493098" w:rsidRDefault="00493098" w:rsidP="00493098">
      <w:pPr>
        <w:pStyle w:val="CGCNumberedPara"/>
      </w:pPr>
      <w:r>
        <w:t xml:space="preserve">We anticipate receiving </w:t>
      </w:r>
      <w:r w:rsidR="006D7BC4">
        <w:t>t</w:t>
      </w:r>
      <w:r>
        <w:t xml:space="preserve">erms of </w:t>
      </w:r>
      <w:r w:rsidR="006D7BC4">
        <w:t>r</w:t>
      </w:r>
      <w:r>
        <w:t xml:space="preserve">eference for a review in the very near term. However, we do not consider this process to be a direct part of that, and so are sending this request out independently of the new </w:t>
      </w:r>
      <w:r w:rsidR="006D7BC4">
        <w:t>t</w:t>
      </w:r>
      <w:r>
        <w:t xml:space="preserve">erms of </w:t>
      </w:r>
      <w:r w:rsidR="006D7BC4">
        <w:t>r</w:t>
      </w:r>
      <w:r>
        <w:t xml:space="preserve">eference. We regard this as part of the ongoing data working party work. However, we would like to highlight that </w:t>
      </w:r>
      <w:r w:rsidR="006D7BC4">
        <w:t xml:space="preserve">developing </w:t>
      </w:r>
      <w:r>
        <w:t>an agreed geographic classification is time consuming</w:t>
      </w:r>
      <w:r w:rsidR="00681E72">
        <w:t>. Before we can begin to request and collate data, we require</w:t>
      </w:r>
      <w:r>
        <w:t xml:space="preserve">: </w:t>
      </w:r>
    </w:p>
    <w:p w:rsidR="00493098" w:rsidRDefault="00493098" w:rsidP="00493098">
      <w:pPr>
        <w:pStyle w:val="CGCBulletlist"/>
      </w:pPr>
      <w:r>
        <w:t>consultation with the States</w:t>
      </w:r>
    </w:p>
    <w:p w:rsidR="00493098" w:rsidRDefault="00493098" w:rsidP="00493098">
      <w:pPr>
        <w:pStyle w:val="CGCBulletlist"/>
      </w:pPr>
      <w:r>
        <w:t>agreement by the commission</w:t>
      </w:r>
    </w:p>
    <w:p w:rsidR="00493098" w:rsidRDefault="00493098" w:rsidP="00493098">
      <w:pPr>
        <w:pStyle w:val="CGCBulletlist"/>
      </w:pPr>
      <w:r>
        <w:t>development by GISCA</w:t>
      </w:r>
      <w:r>
        <w:rPr>
          <w:rStyle w:val="FootnoteReference"/>
        </w:rPr>
        <w:footnoteReference w:id="1"/>
      </w:r>
    </w:p>
    <w:p w:rsidR="00493098" w:rsidRDefault="007719F6" w:rsidP="006D7BC4">
      <w:pPr>
        <w:pStyle w:val="Heading3"/>
      </w:pPr>
      <w:bookmarkStart w:id="13" w:name="_Toc354415052"/>
      <w:bookmarkStart w:id="14" w:name="_Toc354495573"/>
      <w:bookmarkEnd w:id="12"/>
      <w:r>
        <w:t>Differences between SARIA and ARIA</w:t>
      </w:r>
      <w:bookmarkEnd w:id="13"/>
      <w:bookmarkEnd w:id="14"/>
    </w:p>
    <w:p w:rsidR="00FE1EA2" w:rsidRDefault="00FE1EA2" w:rsidP="00FE1EA2">
      <w:pPr>
        <w:pStyle w:val="CGCNumberedPara"/>
        <w:numPr>
          <w:ilvl w:val="1"/>
          <w:numId w:val="3"/>
        </w:numPr>
      </w:pPr>
      <w:r>
        <w:t xml:space="preserve">In the 2010 Review, many of the commission’s assessments recognised that the costs States incur in providing a given service are affected by where people live. The commission used </w:t>
      </w:r>
      <w:r w:rsidR="00493098">
        <w:t>SARIA</w:t>
      </w:r>
      <w:r>
        <w:t xml:space="preserve"> to classify where people live and to measure the population in each region. That index determines the remoteness and accessibility of areas on the basis of their distance from the State capital city and other centres of various sizes within the State. It differs from the Accessibility and Remoteness Index of Australia (ARIA)</w:t>
      </w:r>
      <w:r>
        <w:rPr>
          <w:rStyle w:val="FootnoteReference"/>
        </w:rPr>
        <w:footnoteReference w:id="2"/>
      </w:r>
      <w:r>
        <w:t xml:space="preserve"> because it recognises that all State capital cities are the major focus of service delivery in a State and are therefore highly accessible</w:t>
      </w:r>
      <w:r>
        <w:rPr>
          <w:rStyle w:val="FootnoteReference"/>
        </w:rPr>
        <w:footnoteReference w:id="3"/>
      </w:r>
      <w:r>
        <w:t xml:space="preserve"> and that services are generally not provided by State governments to residents of other States</w:t>
      </w:r>
      <w:r>
        <w:rPr>
          <w:rStyle w:val="FootnoteReference"/>
        </w:rPr>
        <w:footnoteReference w:id="4"/>
      </w:r>
      <w:r>
        <w:t xml:space="preserve">.  </w:t>
      </w:r>
    </w:p>
    <w:p w:rsidR="006D7BC4" w:rsidRDefault="006D7BC4" w:rsidP="006D7BC4">
      <w:pPr>
        <w:pStyle w:val="CGCNumberedPara"/>
        <w:numPr>
          <w:ilvl w:val="1"/>
          <w:numId w:val="3"/>
        </w:numPr>
      </w:pPr>
      <w:r>
        <w:t>The major differences between SARIA and ARIA are:</w:t>
      </w:r>
    </w:p>
    <w:p w:rsidR="006D7BC4" w:rsidRDefault="00AD6569" w:rsidP="006D7BC4">
      <w:pPr>
        <w:pStyle w:val="CGCBulletlist"/>
      </w:pPr>
      <w:r>
        <w:lastRenderedPageBreak/>
        <w:t>t</w:t>
      </w:r>
      <w:r w:rsidR="006D7BC4">
        <w:t>he treatment of capital cities</w:t>
      </w:r>
    </w:p>
    <w:p w:rsidR="006D7BC4" w:rsidRDefault="006D7BC4" w:rsidP="006D7BC4">
      <w:pPr>
        <w:pStyle w:val="CGCBulletlist"/>
      </w:pPr>
      <w:r>
        <w:t>border</w:t>
      </w:r>
      <w:r w:rsidR="00AD6569">
        <w:t>s are assumed to be impermeable in SARIA</w:t>
      </w:r>
    </w:p>
    <w:p w:rsidR="006D7BC4" w:rsidRDefault="00AD6569" w:rsidP="006D7BC4">
      <w:pPr>
        <w:pStyle w:val="CGCBulletlist"/>
      </w:pPr>
      <w:r>
        <w:t>t</w:t>
      </w:r>
      <w:r w:rsidR="006D7BC4">
        <w:t>runcation</w:t>
      </w:r>
      <w:r>
        <w:t xml:space="preserve"> of scores</w:t>
      </w:r>
    </w:p>
    <w:p w:rsidR="006D7BC4" w:rsidRDefault="00AD6569" w:rsidP="006D7BC4">
      <w:pPr>
        <w:pStyle w:val="CGCBulletlist"/>
      </w:pPr>
      <w:r>
        <w:t>the p</w:t>
      </w:r>
      <w:r w:rsidR="006D7BC4">
        <w:t>opulation estimates used</w:t>
      </w:r>
      <w:r>
        <w:t>.</w:t>
      </w:r>
    </w:p>
    <w:p w:rsidR="00AD6569" w:rsidRDefault="00AD6569" w:rsidP="00AD6569">
      <w:pPr>
        <w:pStyle w:val="CGCNumberedPara"/>
        <w:numPr>
          <w:ilvl w:val="1"/>
          <w:numId w:val="3"/>
        </w:numPr>
      </w:pPr>
      <w:r>
        <w:t>Our remoteness classification is used for two purposes:</w:t>
      </w:r>
    </w:p>
    <w:p w:rsidR="00AD6569" w:rsidRDefault="00AD6569" w:rsidP="00AD6569">
      <w:pPr>
        <w:pStyle w:val="CGCBulletlist"/>
        <w:numPr>
          <w:ilvl w:val="0"/>
          <w:numId w:val="1"/>
        </w:numPr>
        <w:tabs>
          <w:tab w:val="clear" w:pos="927"/>
        </w:tabs>
        <w:ind w:left="1134" w:hanging="567"/>
      </w:pPr>
      <w:r>
        <w:t>it is used to reflect the cost to States of providing services in different areas</w:t>
      </w:r>
    </w:p>
    <w:p w:rsidR="00AD6569" w:rsidRDefault="00AD6569" w:rsidP="00AD6569">
      <w:pPr>
        <w:pStyle w:val="CGCBulletlist"/>
        <w:numPr>
          <w:ilvl w:val="0"/>
          <w:numId w:val="1"/>
        </w:numPr>
        <w:tabs>
          <w:tab w:val="clear" w:pos="927"/>
        </w:tabs>
        <w:ind w:left="1134" w:hanging="567"/>
      </w:pPr>
      <w:r>
        <w:t xml:space="preserve">it is used to divide the population into groups that have different patterns of use of certain services. </w:t>
      </w:r>
    </w:p>
    <w:p w:rsidR="00FE1EA2" w:rsidRDefault="006D7BC4" w:rsidP="006D7BC4">
      <w:pPr>
        <w:pStyle w:val="CGCNumberedPara"/>
        <w:numPr>
          <w:ilvl w:val="1"/>
          <w:numId w:val="3"/>
        </w:numPr>
      </w:pPr>
      <w:r>
        <w:t xml:space="preserve">In this paper we consider how these </w:t>
      </w:r>
      <w:r w:rsidR="00FE1EA2">
        <w:t xml:space="preserve">differences between SARIA and ARIA </w:t>
      </w:r>
      <w:r>
        <w:t xml:space="preserve">affect </w:t>
      </w:r>
      <w:r w:rsidR="00AD6569">
        <w:t xml:space="preserve">our </w:t>
      </w:r>
      <w:r w:rsidR="00FE1EA2">
        <w:t>purposes.</w:t>
      </w:r>
      <w:r w:rsidR="00AD6569">
        <w:t xml:space="preserve"> We have considered some of the implications of these differences, but have not attempted to be exhaustive. We welcome State views on the implications of these differences in helping us develop a remoteness classification using the 2011 census.</w:t>
      </w:r>
    </w:p>
    <w:p w:rsidR="00681E72" w:rsidRPr="00681E72" w:rsidRDefault="00FE1EA2" w:rsidP="00681E72">
      <w:pPr>
        <w:pStyle w:val="Heading4"/>
      </w:pPr>
      <w:bookmarkStart w:id="15" w:name="_Toc354414564"/>
      <w:bookmarkStart w:id="16" w:name="_Toc354415053"/>
      <w:bookmarkStart w:id="17" w:name="_Toc354495574"/>
      <w:r w:rsidRPr="00681E72">
        <w:rPr>
          <w:rStyle w:val="Heading5Char"/>
          <w:b/>
        </w:rPr>
        <w:t>Treatment of capital cities</w:t>
      </w:r>
      <w:bookmarkEnd w:id="15"/>
      <w:bookmarkEnd w:id="16"/>
      <w:bookmarkEnd w:id="17"/>
    </w:p>
    <w:p w:rsidR="00FE1EA2" w:rsidRDefault="00FE1EA2" w:rsidP="00FE1EA2">
      <w:pPr>
        <w:pStyle w:val="CGCNumberedPara"/>
        <w:numPr>
          <w:ilvl w:val="1"/>
          <w:numId w:val="3"/>
        </w:numPr>
      </w:pPr>
      <w:r>
        <w:t xml:space="preserve">SARIA’s measure of remoteness includes a component for the distance from the State capital city, while in </w:t>
      </w:r>
      <w:r w:rsidR="006D7BC4">
        <w:t xml:space="preserve">ARIA </w:t>
      </w:r>
      <w:r>
        <w:t>this component is the distance from the nearest city of over 250</w:t>
      </w:r>
      <w:r w:rsidR="00167D3A">
        <w:t> </w:t>
      </w:r>
      <w:r>
        <w:t xml:space="preserve">000 people.  </w:t>
      </w:r>
    </w:p>
    <w:p w:rsidR="00FE1EA2" w:rsidRDefault="00AD6569" w:rsidP="00FE1EA2">
      <w:pPr>
        <w:pStyle w:val="CGCNumberedPara"/>
        <w:numPr>
          <w:ilvl w:val="1"/>
          <w:numId w:val="3"/>
        </w:numPr>
      </w:pPr>
      <w:r>
        <w:t xml:space="preserve">To reflect </w:t>
      </w:r>
      <w:r w:rsidR="00FE1EA2">
        <w:t xml:space="preserve">the cost of delivering services, the SARIA model is appropriate if visits by head office staff </w:t>
      </w:r>
      <w:r>
        <w:t xml:space="preserve">are </w:t>
      </w:r>
      <w:r w:rsidR="00FE1EA2">
        <w:t xml:space="preserve">a key driver of the cost of </w:t>
      </w:r>
      <w:r>
        <w:t xml:space="preserve">delivering </w:t>
      </w:r>
      <w:r w:rsidR="00FE1EA2">
        <w:t>services.  However</w:t>
      </w:r>
      <w:r w:rsidR="006D7BC4">
        <w:t xml:space="preserve">, </w:t>
      </w:r>
      <w:r w:rsidR="00FE1EA2">
        <w:t xml:space="preserve">staff consider that physical visits from head office are probably a relatively small component of the costs of delivering a service. Therefore, SARIA may not better reflect </w:t>
      </w:r>
      <w:r>
        <w:t xml:space="preserve">the </w:t>
      </w:r>
      <w:r w:rsidR="00FE1EA2">
        <w:t xml:space="preserve">costs of delivering services. </w:t>
      </w:r>
    </w:p>
    <w:p w:rsidR="00AD6569" w:rsidRDefault="006D7BC4" w:rsidP="00FE1EA2">
      <w:pPr>
        <w:pStyle w:val="CGCNumberedPara"/>
        <w:numPr>
          <w:ilvl w:val="1"/>
          <w:numId w:val="3"/>
        </w:numPr>
      </w:pPr>
      <w:r>
        <w:t xml:space="preserve">In relation to the second purpose of our remoteness classification, the question is </w:t>
      </w:r>
      <w:r w:rsidR="00FE1EA2">
        <w:t xml:space="preserve">whether small capital cities </w:t>
      </w:r>
      <w:r w:rsidR="00AD6569">
        <w:t xml:space="preserve">have use patterns </w:t>
      </w:r>
      <w:r w:rsidR="00FE1EA2">
        <w:t>like other cities</w:t>
      </w:r>
      <w:r w:rsidR="00AD6569">
        <w:t xml:space="preserve"> of a similar size</w:t>
      </w:r>
      <w:r w:rsidR="00FE1EA2">
        <w:t>, or more like other capital cities</w:t>
      </w:r>
      <w:r>
        <w:t xml:space="preserve"> in terms of how their residents use services</w:t>
      </w:r>
      <w:r w:rsidR="00FE1EA2">
        <w:t>. The converse issue is whether large non-capital cit</w:t>
      </w:r>
      <w:r>
        <w:t xml:space="preserve">y residents </w:t>
      </w:r>
      <w:r w:rsidR="00FE1EA2">
        <w:t xml:space="preserve">are more like </w:t>
      </w:r>
      <w:r>
        <w:t xml:space="preserve">residents of </w:t>
      </w:r>
      <w:r w:rsidR="00FE1EA2">
        <w:t>other large cities, or other non</w:t>
      </w:r>
      <w:r>
        <w:noBreakHyphen/>
      </w:r>
      <w:r w:rsidR="00FE1EA2">
        <w:t xml:space="preserve">capital cities. </w:t>
      </w:r>
    </w:p>
    <w:p w:rsidR="00FE1EA2" w:rsidRDefault="00FE1EA2" w:rsidP="00FE1EA2">
      <w:pPr>
        <w:pStyle w:val="CGCNumberedPara"/>
        <w:numPr>
          <w:ilvl w:val="1"/>
          <w:numId w:val="3"/>
        </w:numPr>
      </w:pPr>
      <w:r>
        <w:fldChar w:fldCharType="begin"/>
      </w:r>
      <w:r>
        <w:instrText xml:space="preserve"> REF _Ref349552147 \h </w:instrText>
      </w:r>
      <w:r>
        <w:fldChar w:fldCharType="separate"/>
      </w:r>
      <w:r w:rsidR="005255E7">
        <w:t xml:space="preserve">Table </w:t>
      </w:r>
      <w:r w:rsidR="005255E7">
        <w:rPr>
          <w:noProof/>
        </w:rPr>
        <w:t>1</w:t>
      </w:r>
      <w:r>
        <w:fldChar w:fldCharType="end"/>
      </w:r>
      <w:r>
        <w:t xml:space="preserve"> shows the 20 largest cities in Australia. In the Admitted patients assessment, we treat Darwin as being moderately accessible, rather than highly accessible, on the grounds that the provision of private hospital services makes Darwin more like other similar sized towns, than like capital cities. </w:t>
      </w:r>
      <w:r w:rsidR="006D7BC4">
        <w:t>There was no strong evidence that Hobart’s private hospital system was like other capital cities, nor that it was like other regional cities. In the absence of strong evidence for an adjustment to the remoteness of Hobart, no</w:t>
      </w:r>
      <w:r>
        <w:t xml:space="preserve"> adjustment was </w:t>
      </w:r>
      <w:r w:rsidR="006D7BC4">
        <w:t>made.</w:t>
      </w:r>
    </w:p>
    <w:p w:rsidR="00FE1EA2" w:rsidRDefault="00FE1EA2" w:rsidP="00FE1EA2">
      <w:pPr>
        <w:pStyle w:val="Caption"/>
      </w:pPr>
      <w:bookmarkStart w:id="18" w:name="_Ref349552147"/>
      <w:r>
        <w:lastRenderedPageBreak/>
        <w:t xml:space="preserve">Table </w:t>
      </w:r>
      <w:r w:rsidR="002C4517">
        <w:fldChar w:fldCharType="begin"/>
      </w:r>
      <w:r w:rsidR="002C4517">
        <w:instrText xml:space="preserve"> SEQ Table \* ARABIC </w:instrText>
      </w:r>
      <w:r w:rsidR="002C4517">
        <w:fldChar w:fldCharType="separate"/>
      </w:r>
      <w:r w:rsidR="005255E7">
        <w:rPr>
          <w:noProof/>
        </w:rPr>
        <w:t>1</w:t>
      </w:r>
      <w:r w:rsidR="002C4517">
        <w:rPr>
          <w:noProof/>
        </w:rPr>
        <w:fldChar w:fldCharType="end"/>
      </w:r>
      <w:bookmarkEnd w:id="18"/>
      <w:r>
        <w:tab/>
        <w:t xml:space="preserve">Population of largest 20 Australian urban centres </w:t>
      </w:r>
    </w:p>
    <w:tbl>
      <w:tblPr>
        <w:tblW w:w="8900" w:type="dxa"/>
        <w:tblLayout w:type="fixed"/>
        <w:tblCellMar>
          <w:left w:w="0" w:type="dxa"/>
          <w:right w:w="0" w:type="dxa"/>
        </w:tblCellMar>
        <w:tblLook w:val="04A0" w:firstRow="1" w:lastRow="0" w:firstColumn="1" w:lastColumn="0" w:noHBand="0" w:noVBand="1"/>
      </w:tblPr>
      <w:tblGrid>
        <w:gridCol w:w="740"/>
        <w:gridCol w:w="4660"/>
        <w:gridCol w:w="2340"/>
        <w:gridCol w:w="1160"/>
      </w:tblGrid>
      <w:tr w:rsidR="00167D3A" w:rsidRPr="00167D3A" w:rsidTr="00167D3A">
        <w:trPr>
          <w:trHeight w:val="555"/>
        </w:trPr>
        <w:tc>
          <w:tcPr>
            <w:tcW w:w="740" w:type="dxa"/>
            <w:tcBorders>
              <w:top w:val="single" w:sz="4" w:space="0" w:color="auto"/>
              <w:left w:val="nil"/>
              <w:bottom w:val="single" w:sz="4" w:space="0" w:color="auto"/>
              <w:right w:val="nil"/>
            </w:tcBorders>
            <w:shd w:val="clear" w:color="auto" w:fill="auto"/>
            <w:noWrap/>
            <w:vAlign w:val="center"/>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bookmarkStart w:id="19" w:name="RANGE!A5:D25"/>
            <w:r w:rsidRPr="00167D3A">
              <w:rPr>
                <w:rFonts w:ascii="Calibri" w:eastAsia="Times New Roman" w:hAnsi="Calibri" w:cs="Calibri"/>
                <w:sz w:val="20"/>
                <w:szCs w:val="20"/>
                <w:lang w:eastAsia="en-AU"/>
              </w:rPr>
              <w:t>Rank</w:t>
            </w:r>
            <w:bookmarkEnd w:id="19"/>
          </w:p>
        </w:tc>
        <w:tc>
          <w:tcPr>
            <w:tcW w:w="4660" w:type="dxa"/>
            <w:tcBorders>
              <w:top w:val="single" w:sz="4" w:space="0" w:color="auto"/>
              <w:left w:val="nil"/>
              <w:bottom w:val="single" w:sz="4" w:space="0" w:color="auto"/>
              <w:right w:val="nil"/>
            </w:tcBorders>
            <w:shd w:val="clear" w:color="auto" w:fill="auto"/>
            <w:noWrap/>
            <w:vAlign w:val="center"/>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City</w:t>
            </w:r>
          </w:p>
        </w:tc>
        <w:tc>
          <w:tcPr>
            <w:tcW w:w="2340" w:type="dxa"/>
            <w:tcBorders>
              <w:top w:val="single" w:sz="4" w:space="0" w:color="auto"/>
              <w:left w:val="nil"/>
              <w:bottom w:val="single" w:sz="4" w:space="0" w:color="auto"/>
              <w:right w:val="nil"/>
            </w:tcBorders>
            <w:shd w:val="clear" w:color="auto" w:fill="auto"/>
            <w:vAlign w:val="center"/>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Whether capital city</w:t>
            </w:r>
          </w:p>
        </w:tc>
        <w:tc>
          <w:tcPr>
            <w:tcW w:w="1160" w:type="dxa"/>
            <w:tcBorders>
              <w:top w:val="single" w:sz="4" w:space="0" w:color="auto"/>
              <w:left w:val="nil"/>
              <w:bottom w:val="single" w:sz="4" w:space="0" w:color="auto"/>
              <w:right w:val="nil"/>
            </w:tcBorders>
            <w:shd w:val="clear" w:color="auto" w:fill="auto"/>
            <w:vAlign w:val="center"/>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Population, June 2011</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Sydney</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Capital city</w:t>
            </w: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4 087 551</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2</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Melbourne</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Capital city</w:t>
            </w: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3 802 341</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3</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Brisbane</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Capital city</w:t>
            </w: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1 941 633</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4</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Perth</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Capital city</w:t>
            </w: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1 481 615</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5</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Adelaide</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Capital city</w:t>
            </w: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1 133 005</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6</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Gold Coast-Tweed Heads (Gold Coast Part)</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468 303</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7</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Canberra-Queanbeyan (Canberra Part)</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Capital city</w:t>
            </w: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356 851</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8</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Newcastle</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310 788</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9</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Central Coast</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305 539</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10</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Wollongong</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255 188</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11</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Sunshine Coast</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211 376</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12</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Geelong</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146 714</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13</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Townsville-Thuringowa</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143 917</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14</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Hobart</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Capital city</w:t>
            </w: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135 275</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15</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Cairns</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114 949</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16</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Darwin-Palmerston</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Capital city</w:t>
            </w: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107 702</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17</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Toowoomba</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101 498</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18</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Mandurah</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89 787</w:t>
            </w:r>
          </w:p>
        </w:tc>
      </w:tr>
      <w:tr w:rsidR="00167D3A" w:rsidRPr="00167D3A" w:rsidTr="00167D3A">
        <w:trPr>
          <w:trHeight w:val="315"/>
        </w:trPr>
        <w:tc>
          <w:tcPr>
            <w:tcW w:w="7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19</w:t>
            </w:r>
          </w:p>
        </w:tc>
        <w:tc>
          <w:tcPr>
            <w:tcW w:w="46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Ballarat</w:t>
            </w:r>
          </w:p>
        </w:tc>
        <w:tc>
          <w:tcPr>
            <w:tcW w:w="234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p>
        </w:tc>
        <w:tc>
          <w:tcPr>
            <w:tcW w:w="1160" w:type="dxa"/>
            <w:tcBorders>
              <w:top w:val="nil"/>
              <w:left w:val="nil"/>
              <w:bottom w:val="nil"/>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86 986</w:t>
            </w:r>
          </w:p>
        </w:tc>
      </w:tr>
      <w:tr w:rsidR="00167D3A" w:rsidRPr="00167D3A" w:rsidTr="00167D3A">
        <w:trPr>
          <w:trHeight w:val="315"/>
        </w:trPr>
        <w:tc>
          <w:tcPr>
            <w:tcW w:w="740" w:type="dxa"/>
            <w:tcBorders>
              <w:top w:val="nil"/>
              <w:left w:val="nil"/>
              <w:bottom w:val="single" w:sz="4" w:space="0" w:color="auto"/>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20</w:t>
            </w:r>
          </w:p>
        </w:tc>
        <w:tc>
          <w:tcPr>
            <w:tcW w:w="4660" w:type="dxa"/>
            <w:tcBorders>
              <w:top w:val="nil"/>
              <w:left w:val="nil"/>
              <w:bottom w:val="single" w:sz="4" w:space="0" w:color="auto"/>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Bendigo</w:t>
            </w:r>
          </w:p>
        </w:tc>
        <w:tc>
          <w:tcPr>
            <w:tcW w:w="2340" w:type="dxa"/>
            <w:tcBorders>
              <w:top w:val="nil"/>
              <w:left w:val="nil"/>
              <w:bottom w:val="single" w:sz="4" w:space="0" w:color="auto"/>
              <w:right w:val="nil"/>
            </w:tcBorders>
            <w:shd w:val="clear" w:color="auto" w:fill="auto"/>
            <w:noWrap/>
            <w:hideMark/>
          </w:tcPr>
          <w:p w:rsidR="00167D3A" w:rsidRPr="00167D3A" w:rsidRDefault="00167D3A" w:rsidP="00167D3A">
            <w:pPr>
              <w:keepNext/>
              <w:keepLines/>
              <w:tabs>
                <w:tab w:val="clear" w:pos="567"/>
              </w:tabs>
              <w:spacing w:after="0" w:line="240" w:lineRule="auto"/>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w:t>
            </w:r>
          </w:p>
        </w:tc>
        <w:tc>
          <w:tcPr>
            <w:tcW w:w="1160" w:type="dxa"/>
            <w:tcBorders>
              <w:top w:val="nil"/>
              <w:left w:val="nil"/>
              <w:bottom w:val="single" w:sz="4" w:space="0" w:color="auto"/>
              <w:right w:val="nil"/>
            </w:tcBorders>
            <w:shd w:val="clear" w:color="auto" w:fill="auto"/>
            <w:noWrap/>
            <w:hideMark/>
          </w:tcPr>
          <w:p w:rsidR="00167D3A" w:rsidRPr="00167D3A" w:rsidRDefault="00167D3A" w:rsidP="00167D3A">
            <w:pPr>
              <w:keepNext/>
              <w:keepLines/>
              <w:tabs>
                <w:tab w:val="clear" w:pos="567"/>
              </w:tabs>
              <w:spacing w:after="0" w:line="240" w:lineRule="auto"/>
              <w:jc w:val="right"/>
              <w:rPr>
                <w:rFonts w:ascii="Calibri" w:eastAsia="Times New Roman" w:hAnsi="Calibri" w:cs="Calibri"/>
                <w:sz w:val="20"/>
                <w:szCs w:val="20"/>
                <w:lang w:eastAsia="en-AU"/>
              </w:rPr>
            </w:pPr>
            <w:r w:rsidRPr="00167D3A">
              <w:rPr>
                <w:rFonts w:ascii="Calibri" w:eastAsia="Times New Roman" w:hAnsi="Calibri" w:cs="Calibri"/>
                <w:sz w:val="20"/>
                <w:szCs w:val="20"/>
                <w:lang w:eastAsia="en-AU"/>
              </w:rPr>
              <w:t xml:space="preserve"> 83 197</w:t>
            </w:r>
          </w:p>
        </w:tc>
      </w:tr>
    </w:tbl>
    <w:p w:rsidR="00FE1EA2" w:rsidRDefault="00FE1EA2" w:rsidP="00FE1EA2">
      <w:pPr>
        <w:pStyle w:val="CGCTableFootnote"/>
      </w:pPr>
      <w:r>
        <w:t>Source: ABS Population Estimates</w:t>
      </w:r>
    </w:p>
    <w:p w:rsidR="00FE1EA2" w:rsidRDefault="00FE1EA2" w:rsidP="00FE1EA2">
      <w:pPr>
        <w:pStyle w:val="CGCNumberedPara"/>
        <w:numPr>
          <w:ilvl w:val="1"/>
          <w:numId w:val="3"/>
        </w:numPr>
      </w:pPr>
      <w:r>
        <w:fldChar w:fldCharType="begin"/>
      </w:r>
      <w:r>
        <w:instrText xml:space="preserve"> REF _Ref351382066 \h </w:instrText>
      </w:r>
      <w:r>
        <w:fldChar w:fldCharType="separate"/>
      </w:r>
      <w:r w:rsidR="005255E7">
        <w:t xml:space="preserve">Figure </w:t>
      </w:r>
      <w:r w:rsidR="005255E7">
        <w:rPr>
          <w:noProof/>
        </w:rPr>
        <w:t>1</w:t>
      </w:r>
      <w:r>
        <w:fldChar w:fldCharType="end"/>
      </w:r>
      <w:r>
        <w:t xml:space="preserve"> shows that after controlling for socio-economic status, </w:t>
      </w:r>
      <w:r w:rsidR="00AD6569">
        <w:t>C</w:t>
      </w:r>
      <w:r>
        <w:t xml:space="preserve">ommonwealth electorates in capital cities tend to have higher rates of bulk billing of Medicare services than those in regional areas. </w:t>
      </w:r>
    </w:p>
    <w:p w:rsidR="00FE1EA2" w:rsidRDefault="00FE1EA2" w:rsidP="00FE1EA2">
      <w:pPr>
        <w:pStyle w:val="CGCNumberedPara"/>
        <w:numPr>
          <w:ilvl w:val="1"/>
          <w:numId w:val="3"/>
        </w:numPr>
      </w:pPr>
      <w:r>
        <w:t>The level of bulk billing in the electorates of Solomon (Darwin) and Denison (Hobart) are considerably lower than almost</w:t>
      </w:r>
      <w:r>
        <w:rPr>
          <w:rStyle w:val="FootnoteReference"/>
        </w:rPr>
        <w:footnoteReference w:id="5"/>
      </w:r>
      <w:r>
        <w:t xml:space="preserve"> any other capital city electorate with comparable socio-economic status. This supports the notion that the people in Darwin and Hobart use (or are offered) health services in a different way to those in other capital cities, and more consistent with the way services are offered in regional </w:t>
      </w:r>
      <w:r w:rsidR="00AD6569">
        <w:t>cities</w:t>
      </w:r>
      <w:r>
        <w:t xml:space="preserve">. </w:t>
      </w:r>
    </w:p>
    <w:p w:rsidR="003A781B" w:rsidRDefault="003A781B" w:rsidP="003A781B">
      <w:pPr>
        <w:pStyle w:val="CGCNumberedPara"/>
        <w:numPr>
          <w:ilvl w:val="1"/>
          <w:numId w:val="3"/>
        </w:numPr>
      </w:pPr>
      <w:r>
        <w:fldChar w:fldCharType="begin"/>
      </w:r>
      <w:r>
        <w:instrText xml:space="preserve"> REF _Ref354481268 \h </w:instrText>
      </w:r>
      <w:r>
        <w:fldChar w:fldCharType="separate"/>
      </w:r>
      <w:r>
        <w:t xml:space="preserve">Figure </w:t>
      </w:r>
      <w:r>
        <w:rPr>
          <w:noProof/>
        </w:rPr>
        <w:t>2</w:t>
      </w:r>
      <w:r>
        <w:fldChar w:fldCharType="end"/>
      </w:r>
      <w:r>
        <w:t xml:space="preserve"> shows that the proportion of students who finish year 12 varies with city size. The students in Darwin and Hobart have retention rates that are more similar to students in similar sized cities than to students in other capital cities. </w:t>
      </w:r>
    </w:p>
    <w:p w:rsidR="006D7BC4" w:rsidRDefault="006D7BC4" w:rsidP="0053353C">
      <w:pPr>
        <w:pStyle w:val="CGCNumberedPara"/>
        <w:numPr>
          <w:ilvl w:val="0"/>
          <w:numId w:val="0"/>
        </w:numPr>
        <w:ind w:left="567"/>
      </w:pPr>
    </w:p>
    <w:p w:rsidR="00FE1EA2" w:rsidRDefault="00FE1EA2" w:rsidP="00FE1EA2">
      <w:pPr>
        <w:pStyle w:val="Caption"/>
      </w:pPr>
      <w:bookmarkStart w:id="20" w:name="_Ref351382066"/>
      <w:r>
        <w:lastRenderedPageBreak/>
        <w:t xml:space="preserve">Figure </w:t>
      </w:r>
      <w:r w:rsidR="002C4517">
        <w:fldChar w:fldCharType="begin"/>
      </w:r>
      <w:r w:rsidR="002C4517">
        <w:instrText xml:space="preserve"> SEQ Figure \* ARABIC </w:instrText>
      </w:r>
      <w:r w:rsidR="002C4517">
        <w:fldChar w:fldCharType="separate"/>
      </w:r>
      <w:r w:rsidR="005255E7">
        <w:rPr>
          <w:noProof/>
        </w:rPr>
        <w:t>1</w:t>
      </w:r>
      <w:r w:rsidR="002C4517">
        <w:rPr>
          <w:noProof/>
        </w:rPr>
        <w:fldChar w:fldCharType="end"/>
      </w:r>
      <w:bookmarkEnd w:id="20"/>
      <w:r>
        <w:tab/>
        <w:t>Medicare bulk billing rates by SEIFA score, Commonwealth Electorates</w:t>
      </w:r>
    </w:p>
    <w:p w:rsidR="00FE1EA2" w:rsidRDefault="00FE1EA2" w:rsidP="00FE1EA2">
      <w:r w:rsidRPr="0080456C">
        <w:rPr>
          <w:noProof/>
          <w:lang w:eastAsia="en-AU"/>
        </w:rPr>
        <w:drawing>
          <wp:inline distT="0" distB="0" distL="0" distR="0" wp14:anchorId="5B4511EE" wp14:editId="03CDC60F">
            <wp:extent cx="5610225" cy="3460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0225" cy="3460115"/>
                    </a:xfrm>
                    <a:prstGeom prst="rect">
                      <a:avLst/>
                    </a:prstGeom>
                    <a:noFill/>
                    <a:ln>
                      <a:noFill/>
                    </a:ln>
                  </pic:spPr>
                </pic:pic>
              </a:graphicData>
            </a:graphic>
          </wp:inline>
        </w:drawing>
      </w:r>
    </w:p>
    <w:p w:rsidR="003A781B" w:rsidRDefault="003A781B" w:rsidP="003A781B">
      <w:pPr>
        <w:pStyle w:val="CGCTableFootnote"/>
      </w:pPr>
      <w:r>
        <w:t>Source: Medicare Australia</w:t>
      </w:r>
      <w:r w:rsidR="00396190">
        <w:t>, 2010-11</w:t>
      </w:r>
      <w:r>
        <w:t>.</w:t>
      </w:r>
    </w:p>
    <w:p w:rsidR="00B86809" w:rsidRDefault="00B86809" w:rsidP="00B86809">
      <w:pPr>
        <w:pStyle w:val="Caption"/>
      </w:pPr>
      <w:bookmarkStart w:id="21" w:name="_Ref354481268"/>
      <w:bookmarkStart w:id="22" w:name="_Toc354414565"/>
      <w:bookmarkStart w:id="23" w:name="_Toc354415054"/>
      <w:r>
        <w:t xml:space="preserve">Figure </w:t>
      </w:r>
      <w:r w:rsidR="002C4517">
        <w:fldChar w:fldCharType="begin"/>
      </w:r>
      <w:r w:rsidR="002C4517">
        <w:instrText xml:space="preserve"> SEQ Figure \* ARABIC </w:instrText>
      </w:r>
      <w:r w:rsidR="002C4517">
        <w:fldChar w:fldCharType="separate"/>
      </w:r>
      <w:r>
        <w:rPr>
          <w:noProof/>
        </w:rPr>
        <w:t>2</w:t>
      </w:r>
      <w:r w:rsidR="002C4517">
        <w:rPr>
          <w:noProof/>
        </w:rPr>
        <w:fldChar w:fldCharType="end"/>
      </w:r>
      <w:bookmarkEnd w:id="21"/>
      <w:r>
        <w:tab/>
        <w:t>Proportion of 20-24 year olds that finished year 12</w:t>
      </w:r>
    </w:p>
    <w:p w:rsidR="00B86809" w:rsidRDefault="003A781B" w:rsidP="00B86809">
      <w:pPr>
        <w:rPr>
          <w:rStyle w:val="Heading5Char"/>
          <w:b w:val="0"/>
        </w:rPr>
      </w:pPr>
      <w:r w:rsidRPr="003A781B">
        <w:rPr>
          <w:noProof/>
          <w:lang w:eastAsia="en-AU"/>
        </w:rPr>
        <w:drawing>
          <wp:inline distT="0" distB="0" distL="0" distR="0" wp14:anchorId="0F962B5E" wp14:editId="0F0A7571">
            <wp:extent cx="5659755" cy="3562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9755" cy="3562985"/>
                    </a:xfrm>
                    <a:prstGeom prst="rect">
                      <a:avLst/>
                    </a:prstGeom>
                    <a:noFill/>
                    <a:ln>
                      <a:noFill/>
                    </a:ln>
                  </pic:spPr>
                </pic:pic>
              </a:graphicData>
            </a:graphic>
          </wp:inline>
        </w:drawing>
      </w:r>
    </w:p>
    <w:p w:rsidR="00B86809" w:rsidRPr="00B86809" w:rsidRDefault="00B86809" w:rsidP="00B86809">
      <w:pPr>
        <w:pStyle w:val="CGCTableFootnote"/>
      </w:pPr>
      <w:r>
        <w:t>Source: Census of population and housing</w:t>
      </w:r>
      <w:r w:rsidR="00396190">
        <w:t>, 2011</w:t>
      </w:r>
      <w:r w:rsidR="003A781B">
        <w:t>.</w:t>
      </w:r>
    </w:p>
    <w:p w:rsidR="00B86809" w:rsidRDefault="00B86809" w:rsidP="00B86809">
      <w:pPr>
        <w:pStyle w:val="CGCNumberedPara"/>
        <w:numPr>
          <w:ilvl w:val="1"/>
          <w:numId w:val="3"/>
        </w:numPr>
      </w:pPr>
      <w:r>
        <w:lastRenderedPageBreak/>
        <w:t xml:space="preserve">The commission adopts an approach of equalising standards of service for comparable communities. The communities in Hobart and Darwin appear to be more comparable to those of other regional cities of about their size than to communities in other capital cities, at least in terms of their use of Medicare and education services. </w:t>
      </w:r>
    </w:p>
    <w:p w:rsidR="00681E72" w:rsidRPr="00681E72" w:rsidRDefault="00FE1EA2" w:rsidP="00681E72">
      <w:pPr>
        <w:pStyle w:val="Heading4"/>
        <w:rPr>
          <w:rStyle w:val="Heading5Char"/>
          <w:b/>
        </w:rPr>
      </w:pPr>
      <w:bookmarkStart w:id="24" w:name="_Toc354495575"/>
      <w:r w:rsidRPr="00681E72">
        <w:rPr>
          <w:rStyle w:val="Heading5Char"/>
          <w:b/>
        </w:rPr>
        <w:t>Impermeable borders</w:t>
      </w:r>
      <w:bookmarkEnd w:id="22"/>
      <w:bookmarkEnd w:id="23"/>
      <w:bookmarkEnd w:id="24"/>
    </w:p>
    <w:p w:rsidR="00FE1EA2" w:rsidRDefault="00FE1EA2" w:rsidP="00FE1EA2">
      <w:pPr>
        <w:pStyle w:val="CGCNumberedPara"/>
        <w:numPr>
          <w:ilvl w:val="1"/>
          <w:numId w:val="3"/>
        </w:numPr>
      </w:pPr>
      <w:r>
        <w:t xml:space="preserve">One key difference between SARIA and ARIA is that SARIA does not allow for proximity to a centre in another State to affect a locality’s remoteness.  For example, Tweed </w:t>
      </w:r>
      <w:r w:rsidR="008D707F">
        <w:t xml:space="preserve">Heads </w:t>
      </w:r>
      <w:r>
        <w:t xml:space="preserve">is regarded as being distant from Sydney rather than close to Brisbane or the Gold </w:t>
      </w:r>
      <w:r w:rsidR="003A781B">
        <w:t>C</w:t>
      </w:r>
      <w:r>
        <w:t>oast.  Because of the relatively small populations living in areas affected by this difference in classification, this has a relatively minor impact on the differences between the two classifications.</w:t>
      </w:r>
    </w:p>
    <w:p w:rsidR="00FE1EA2" w:rsidRDefault="00FE1EA2" w:rsidP="00FE1EA2">
      <w:pPr>
        <w:pStyle w:val="CGCNumberedPara"/>
        <w:numPr>
          <w:ilvl w:val="1"/>
          <w:numId w:val="3"/>
        </w:numPr>
      </w:pPr>
      <w:r>
        <w:t>Conceptually, SARIA is probably better at capturing some costs State governments face in administering services.  For example Queanbeyan does</w:t>
      </w:r>
      <w:r w:rsidR="003A781B">
        <w:t xml:space="preserve"> </w:t>
      </w:r>
      <w:r>
        <w:t>n</w:t>
      </w:r>
      <w:r w:rsidR="003A781B">
        <w:t>o</w:t>
      </w:r>
      <w:r>
        <w:t xml:space="preserve">t get </w:t>
      </w:r>
      <w:r w:rsidR="003A781B">
        <w:t xml:space="preserve">its </w:t>
      </w:r>
      <w:r>
        <w:t xml:space="preserve">school administrators from Canberra. However, it is also likely that if the Buronga public school toilets need fixing, the NSW government may hire a plumber to drive 2.4km from Mildura, rather than 156km from Balranald.  </w:t>
      </w:r>
    </w:p>
    <w:p w:rsidR="00FE1EA2" w:rsidRDefault="00FE1EA2" w:rsidP="00FE1EA2">
      <w:pPr>
        <w:pStyle w:val="CGCNumberedPara"/>
        <w:numPr>
          <w:ilvl w:val="1"/>
          <w:numId w:val="3"/>
        </w:numPr>
      </w:pPr>
      <w:r>
        <w:t xml:space="preserve">The cost of goods and services sourced in Buronga, and the additional allowances required to pay staff to entice them to work in Buronga </w:t>
      </w:r>
      <w:r w:rsidR="003A781B">
        <w:t xml:space="preserve">are </w:t>
      </w:r>
      <w:r>
        <w:t xml:space="preserve">likely to be lower than </w:t>
      </w:r>
      <w:r w:rsidR="003A781B">
        <w:t xml:space="preserve">they </w:t>
      </w:r>
      <w:r>
        <w:t xml:space="preserve">wold be if Mildura did not exist, and if the nearest capital city was 13 hours away, rather than the 6 hours it is to Melbourne. </w:t>
      </w:r>
    </w:p>
    <w:p w:rsidR="00B06F87" w:rsidRDefault="00FE1EA2" w:rsidP="00FE1EA2">
      <w:pPr>
        <w:pStyle w:val="CGCNumberedPara"/>
        <w:numPr>
          <w:ilvl w:val="1"/>
          <w:numId w:val="3"/>
        </w:numPr>
      </w:pPr>
      <w:r>
        <w:t xml:space="preserve">In terms of the </w:t>
      </w:r>
      <w:r w:rsidR="008D707F">
        <w:t xml:space="preserve">use patterns </w:t>
      </w:r>
      <w:r>
        <w:t xml:space="preserve">of the population, </w:t>
      </w:r>
      <w:r w:rsidR="00B06F87">
        <w:t xml:space="preserve">however, the assumption of impermeable borders is inappropriate. The level of private or Commonwealth provision of services is unlikely to be affected by State boundaries. The job opportunities available to people and the impact that has on their use of services is also likely to be significantly affected by the proximity of towns across State borders. </w:t>
      </w:r>
    </w:p>
    <w:p w:rsidR="00FE1EA2" w:rsidRDefault="008D707F" w:rsidP="00FE1EA2">
      <w:pPr>
        <w:pStyle w:val="CGCNumberedPara"/>
        <w:numPr>
          <w:ilvl w:val="1"/>
          <w:numId w:val="3"/>
        </w:numPr>
      </w:pPr>
      <w:r>
        <w:t>I</w:t>
      </w:r>
      <w:r w:rsidR="00396190">
        <w:t>n</w:t>
      </w:r>
      <w:r>
        <w:t xml:space="preserve"> terms of the profile of the population, </w:t>
      </w:r>
      <w:r w:rsidR="00FE1EA2">
        <w:t xml:space="preserve">the range of services provided, and their unit cost, </w:t>
      </w:r>
      <w:r w:rsidR="00EB33E8">
        <w:t>and the regional allowance</w:t>
      </w:r>
      <w:r w:rsidR="003A781B">
        <w:t>s</w:t>
      </w:r>
      <w:r w:rsidR="00EB33E8">
        <w:t xml:space="preserve"> required to attract staff to work in an area, </w:t>
      </w:r>
      <w:r w:rsidR="00FE1EA2">
        <w:t xml:space="preserve">the assumption of impermeable borders is probably generally false.  The population of Tweed Heads is likely to be more comparable to a suburb of the Gold </w:t>
      </w:r>
      <w:r w:rsidR="00396190">
        <w:t>C</w:t>
      </w:r>
      <w:r w:rsidR="00FE1EA2">
        <w:t>oast than to an accessible town of 60</w:t>
      </w:r>
      <w:r w:rsidR="00396190">
        <w:t> </w:t>
      </w:r>
      <w:r w:rsidR="00FE1EA2">
        <w:t xml:space="preserve">000 people such as Bunbury or Bundaberg. The people and services of Queanbeyan are probably more like those of Canberra or Newcastle than they are like Shepparton or Tamworth. </w:t>
      </w:r>
    </w:p>
    <w:p w:rsidR="00FE1EA2" w:rsidRDefault="00FE1EA2" w:rsidP="00FE1EA2">
      <w:pPr>
        <w:pStyle w:val="CGCNumberedPara"/>
        <w:numPr>
          <w:ilvl w:val="1"/>
          <w:numId w:val="3"/>
        </w:numPr>
      </w:pPr>
      <w:r>
        <w:t xml:space="preserve">The rule concerning impermeability of borders is concerned with the mechanisms for delivery of service.  Residents are free to cross borders to consume services in other States and do so. The impact of this is captured in the cross border assessments or in bilateral or multilateral agreements between States. </w:t>
      </w:r>
    </w:p>
    <w:p w:rsidR="00FE1EA2" w:rsidRDefault="00FE1EA2" w:rsidP="00FE1EA2">
      <w:pPr>
        <w:pStyle w:val="CGCNumberedPara"/>
        <w:numPr>
          <w:ilvl w:val="1"/>
          <w:numId w:val="3"/>
        </w:numPr>
      </w:pPr>
      <w:r>
        <w:lastRenderedPageBreak/>
        <w:t xml:space="preserve">While impermeability of borders is a relatively minor issue, staff consider that for both the </w:t>
      </w:r>
      <w:r w:rsidR="008D707F">
        <w:t>use patterns</w:t>
      </w:r>
      <w:r>
        <w:t xml:space="preserve"> of residents, and most costs of delivering services, borders are generally permeable. </w:t>
      </w:r>
    </w:p>
    <w:p w:rsidR="00EE3714" w:rsidRDefault="00EE3714" w:rsidP="00681E72">
      <w:pPr>
        <w:pStyle w:val="Heading4"/>
        <w:rPr>
          <w:rStyle w:val="Heading5Char"/>
          <w:b/>
        </w:rPr>
      </w:pPr>
      <w:bookmarkStart w:id="25" w:name="_Toc354414566"/>
      <w:bookmarkStart w:id="26" w:name="_Toc354415055"/>
      <w:bookmarkStart w:id="27" w:name="_Toc354495576"/>
      <w:r>
        <w:rPr>
          <w:rStyle w:val="Heading5Char"/>
          <w:b/>
        </w:rPr>
        <w:t>Truncation of ratios</w:t>
      </w:r>
      <w:bookmarkEnd w:id="25"/>
      <w:bookmarkEnd w:id="26"/>
      <w:bookmarkEnd w:id="27"/>
    </w:p>
    <w:p w:rsidR="00735A67" w:rsidRDefault="00735A67" w:rsidP="00EE3714">
      <w:pPr>
        <w:pStyle w:val="CGCNumberedPara"/>
      </w:pPr>
      <w:r>
        <w:t>In the calculation of ARIA, to avoid very long distances from a large city from having a disproportionate impact on remoteness, distances are truncated in ARIA. This truncation was not done in SARIA. Th</w:t>
      </w:r>
      <w:r w:rsidR="00AE5311">
        <w:t xml:space="preserve">e is illustrated by the calculation of ARIA and SARIA scores for Broome, in </w:t>
      </w:r>
      <w:r w:rsidR="00AE5311">
        <w:fldChar w:fldCharType="begin"/>
      </w:r>
      <w:r w:rsidR="00AE5311">
        <w:instrText xml:space="preserve"> REF _Ref353450002 \h </w:instrText>
      </w:r>
      <w:r w:rsidR="00AE5311">
        <w:fldChar w:fldCharType="separate"/>
      </w:r>
      <w:r w:rsidR="005255E7">
        <w:t xml:space="preserve">Table </w:t>
      </w:r>
      <w:r w:rsidR="005255E7">
        <w:rPr>
          <w:noProof/>
        </w:rPr>
        <w:t>2</w:t>
      </w:r>
      <w:r w:rsidR="00AE5311">
        <w:fldChar w:fldCharType="end"/>
      </w:r>
      <w:r w:rsidR="00AE5311">
        <w:t>.</w:t>
      </w:r>
    </w:p>
    <w:p w:rsidR="00AE5311" w:rsidRDefault="00AE5311" w:rsidP="00EE3714">
      <w:pPr>
        <w:pStyle w:val="CGCNumberedPara"/>
      </w:pPr>
      <w:r>
        <w:t>Geraldton is the nearest town of 18 000 people to Broome, 1 800km away. Nationally, the average distance of all locations to the nearest centre of 18 000 is 153km. In the calculation of ARIA, it was decided that once a town is 3 times this distance (460km) further distances should be ignored. In developing SARIA with States, States considered that this was not appropriate for our purposes, and we should not truncate these ratios. The impact of this is that Broome is considered remote in ARIA (score of 9.0 is between 5.93 and 10.53</w:t>
      </w:r>
      <w:r w:rsidR="00396190">
        <w:t xml:space="preserve"> which are the cutoffs for a classification of remote</w:t>
      </w:r>
      <w:r>
        <w:t>), but very remote in SARIA (score of 24.7 is well above 10.53).</w:t>
      </w:r>
    </w:p>
    <w:p w:rsidR="00AE5311" w:rsidRDefault="00AE5311" w:rsidP="00AE5311">
      <w:pPr>
        <w:pStyle w:val="Caption"/>
      </w:pPr>
      <w:bookmarkStart w:id="28" w:name="_Ref353450002"/>
      <w:r>
        <w:t xml:space="preserve">Table </w:t>
      </w:r>
      <w:r w:rsidR="002C4517">
        <w:fldChar w:fldCharType="begin"/>
      </w:r>
      <w:r w:rsidR="002C4517">
        <w:instrText xml:space="preserve"> SEQ Table \* ARABIC </w:instrText>
      </w:r>
      <w:r w:rsidR="002C4517">
        <w:fldChar w:fldCharType="separate"/>
      </w:r>
      <w:r w:rsidR="005255E7">
        <w:rPr>
          <w:noProof/>
        </w:rPr>
        <w:t>2</w:t>
      </w:r>
      <w:r w:rsidR="002C4517">
        <w:rPr>
          <w:noProof/>
        </w:rPr>
        <w:fldChar w:fldCharType="end"/>
      </w:r>
      <w:bookmarkEnd w:id="28"/>
      <w:r>
        <w:tab/>
        <w:t>Calculation of SARIA and ARIA score for Broome</w:t>
      </w:r>
    </w:p>
    <w:tbl>
      <w:tblPr>
        <w:tblW w:w="9016" w:type="dxa"/>
        <w:tblLayout w:type="fixed"/>
        <w:tblCellMar>
          <w:left w:w="0" w:type="dxa"/>
          <w:right w:w="0" w:type="dxa"/>
        </w:tblCellMar>
        <w:tblLook w:val="04A0" w:firstRow="1" w:lastRow="0" w:firstColumn="1" w:lastColumn="0" w:noHBand="0" w:noVBand="1"/>
      </w:tblPr>
      <w:tblGrid>
        <w:gridCol w:w="2780"/>
        <w:gridCol w:w="1036"/>
        <w:gridCol w:w="1140"/>
        <w:gridCol w:w="1780"/>
        <w:gridCol w:w="1140"/>
        <w:gridCol w:w="1140"/>
      </w:tblGrid>
      <w:tr w:rsidR="00396190" w:rsidRPr="00396190" w:rsidTr="00396190">
        <w:trPr>
          <w:trHeight w:val="795"/>
        </w:trPr>
        <w:tc>
          <w:tcPr>
            <w:tcW w:w="2780" w:type="dxa"/>
            <w:tcBorders>
              <w:top w:val="single" w:sz="4" w:space="0" w:color="auto"/>
              <w:left w:val="nil"/>
              <w:bottom w:val="single" w:sz="4" w:space="0" w:color="auto"/>
              <w:right w:val="nil"/>
            </w:tcBorders>
            <w:shd w:val="clear" w:color="auto" w:fill="auto"/>
            <w:vAlign w:val="center"/>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bookmarkStart w:id="29" w:name="RANGE!A3:F10"/>
            <w:r w:rsidRPr="00396190">
              <w:rPr>
                <w:rFonts w:ascii="Calibri" w:eastAsia="Times New Roman" w:hAnsi="Calibri" w:cs="Calibri"/>
                <w:color w:val="000000"/>
                <w:sz w:val="20"/>
                <w:szCs w:val="20"/>
                <w:lang w:eastAsia="en-AU"/>
              </w:rPr>
              <w:t>Service centre type</w:t>
            </w:r>
            <w:bookmarkEnd w:id="29"/>
          </w:p>
        </w:tc>
        <w:tc>
          <w:tcPr>
            <w:tcW w:w="1036" w:type="dxa"/>
            <w:tcBorders>
              <w:top w:val="single" w:sz="4" w:space="0" w:color="auto"/>
              <w:left w:val="nil"/>
              <w:bottom w:val="single" w:sz="4" w:space="0" w:color="auto"/>
              <w:right w:val="nil"/>
            </w:tcBorders>
            <w:shd w:val="clear" w:color="auto" w:fill="auto"/>
            <w:vAlign w:val="center"/>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Centre</w:t>
            </w:r>
          </w:p>
        </w:tc>
        <w:tc>
          <w:tcPr>
            <w:tcW w:w="1140" w:type="dxa"/>
            <w:tcBorders>
              <w:top w:val="single" w:sz="4" w:space="0" w:color="auto"/>
              <w:left w:val="nil"/>
              <w:bottom w:val="single" w:sz="4" w:space="0" w:color="auto"/>
              <w:right w:val="nil"/>
            </w:tcBorders>
            <w:shd w:val="clear" w:color="auto" w:fill="auto"/>
            <w:vAlign w:val="center"/>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Distance to Broome</w:t>
            </w:r>
          </w:p>
        </w:tc>
        <w:tc>
          <w:tcPr>
            <w:tcW w:w="1780" w:type="dxa"/>
            <w:tcBorders>
              <w:top w:val="single" w:sz="4" w:space="0" w:color="auto"/>
              <w:left w:val="nil"/>
              <w:bottom w:val="single" w:sz="4" w:space="0" w:color="auto"/>
              <w:right w:val="nil"/>
            </w:tcBorders>
            <w:shd w:val="clear" w:color="auto" w:fill="auto"/>
            <w:vAlign w:val="center"/>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National average distance to service centre</w:t>
            </w:r>
          </w:p>
        </w:tc>
        <w:tc>
          <w:tcPr>
            <w:tcW w:w="1140" w:type="dxa"/>
            <w:tcBorders>
              <w:top w:val="single" w:sz="4" w:space="0" w:color="auto"/>
              <w:left w:val="nil"/>
              <w:bottom w:val="single" w:sz="4" w:space="0" w:color="auto"/>
              <w:right w:val="nil"/>
            </w:tcBorders>
            <w:shd w:val="clear" w:color="auto" w:fill="auto"/>
            <w:vAlign w:val="center"/>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Ratio</w:t>
            </w:r>
          </w:p>
        </w:tc>
        <w:tc>
          <w:tcPr>
            <w:tcW w:w="1140" w:type="dxa"/>
            <w:tcBorders>
              <w:top w:val="single" w:sz="4" w:space="0" w:color="auto"/>
              <w:left w:val="nil"/>
              <w:bottom w:val="single" w:sz="4" w:space="0" w:color="auto"/>
              <w:right w:val="nil"/>
            </w:tcBorders>
            <w:shd w:val="clear" w:color="auto" w:fill="auto"/>
            <w:vAlign w:val="center"/>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Truncated Ratio</w:t>
            </w:r>
          </w:p>
        </w:tc>
      </w:tr>
      <w:tr w:rsidR="00396190" w:rsidRPr="00396190" w:rsidTr="00396190">
        <w:trPr>
          <w:trHeight w:val="259"/>
        </w:trPr>
        <w:tc>
          <w:tcPr>
            <w:tcW w:w="2780" w:type="dxa"/>
            <w:tcBorders>
              <w:top w:val="nil"/>
              <w:left w:val="nil"/>
              <w:bottom w:val="nil"/>
              <w:right w:val="nil"/>
            </w:tcBorders>
            <w:shd w:val="clear" w:color="auto" w:fill="auto"/>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p>
        </w:tc>
        <w:tc>
          <w:tcPr>
            <w:tcW w:w="1036" w:type="dxa"/>
            <w:tcBorders>
              <w:top w:val="nil"/>
              <w:left w:val="nil"/>
              <w:bottom w:val="nil"/>
              <w:right w:val="nil"/>
            </w:tcBorders>
            <w:shd w:val="clear" w:color="auto" w:fill="auto"/>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p>
        </w:tc>
        <w:tc>
          <w:tcPr>
            <w:tcW w:w="1140" w:type="dxa"/>
            <w:tcBorders>
              <w:top w:val="nil"/>
              <w:left w:val="nil"/>
              <w:bottom w:val="nil"/>
              <w:right w:val="nil"/>
            </w:tcBorders>
            <w:shd w:val="clear" w:color="auto" w:fill="auto"/>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km</w:t>
            </w:r>
          </w:p>
        </w:tc>
        <w:tc>
          <w:tcPr>
            <w:tcW w:w="1780" w:type="dxa"/>
            <w:tcBorders>
              <w:top w:val="nil"/>
              <w:left w:val="nil"/>
              <w:bottom w:val="nil"/>
              <w:right w:val="nil"/>
            </w:tcBorders>
            <w:shd w:val="clear" w:color="auto" w:fill="auto"/>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km</w:t>
            </w:r>
          </w:p>
        </w:tc>
        <w:tc>
          <w:tcPr>
            <w:tcW w:w="1140" w:type="dxa"/>
            <w:tcBorders>
              <w:top w:val="nil"/>
              <w:left w:val="nil"/>
              <w:bottom w:val="nil"/>
              <w:right w:val="nil"/>
            </w:tcBorders>
            <w:shd w:val="clear" w:color="auto" w:fill="auto"/>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SARIA score</w:t>
            </w:r>
          </w:p>
        </w:tc>
        <w:tc>
          <w:tcPr>
            <w:tcW w:w="1140" w:type="dxa"/>
            <w:tcBorders>
              <w:top w:val="nil"/>
              <w:left w:val="nil"/>
              <w:bottom w:val="nil"/>
              <w:right w:val="nil"/>
            </w:tcBorders>
            <w:shd w:val="clear" w:color="auto" w:fill="auto"/>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ARIA score</w:t>
            </w:r>
          </w:p>
        </w:tc>
      </w:tr>
      <w:tr w:rsidR="00396190" w:rsidRPr="00396190" w:rsidTr="00396190">
        <w:trPr>
          <w:trHeight w:val="315"/>
        </w:trPr>
        <w:tc>
          <w:tcPr>
            <w:tcW w:w="2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A (Capital city / City of 250 000)</w:t>
            </w:r>
          </w:p>
        </w:tc>
        <w:tc>
          <w:tcPr>
            <w:tcW w:w="1036"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Perth</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2 007</w:t>
            </w:r>
          </w:p>
        </w:tc>
        <w:tc>
          <w:tcPr>
            <w:tcW w:w="1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390</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5.2</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3.0</w:t>
            </w:r>
          </w:p>
        </w:tc>
      </w:tr>
      <w:tr w:rsidR="00396190" w:rsidRPr="00396190" w:rsidTr="00396190">
        <w:trPr>
          <w:trHeight w:val="315"/>
        </w:trPr>
        <w:tc>
          <w:tcPr>
            <w:tcW w:w="2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B (city of 48,000)</w:t>
            </w:r>
          </w:p>
        </w:tc>
        <w:tc>
          <w:tcPr>
            <w:tcW w:w="1036"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Perth</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2 007</w:t>
            </w:r>
          </w:p>
        </w:tc>
        <w:tc>
          <w:tcPr>
            <w:tcW w:w="1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258</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7.8</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3.0</w:t>
            </w:r>
          </w:p>
        </w:tc>
      </w:tr>
      <w:tr w:rsidR="00396190" w:rsidRPr="00396190" w:rsidTr="00396190">
        <w:trPr>
          <w:trHeight w:val="315"/>
        </w:trPr>
        <w:tc>
          <w:tcPr>
            <w:tcW w:w="2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C (city of 18 000)</w:t>
            </w:r>
          </w:p>
        </w:tc>
        <w:tc>
          <w:tcPr>
            <w:tcW w:w="1036"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Geraldton</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1 797</w:t>
            </w:r>
          </w:p>
        </w:tc>
        <w:tc>
          <w:tcPr>
            <w:tcW w:w="1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153</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11.7</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3.0</w:t>
            </w:r>
          </w:p>
        </w:tc>
      </w:tr>
      <w:tr w:rsidR="00396190" w:rsidRPr="00396190" w:rsidTr="00396190">
        <w:trPr>
          <w:trHeight w:val="315"/>
        </w:trPr>
        <w:tc>
          <w:tcPr>
            <w:tcW w:w="2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D (town of 5 000)</w:t>
            </w:r>
          </w:p>
        </w:tc>
        <w:tc>
          <w:tcPr>
            <w:tcW w:w="1036"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Broome</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0</w:t>
            </w:r>
          </w:p>
        </w:tc>
        <w:tc>
          <w:tcPr>
            <w:tcW w:w="1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95</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0.0</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0.0</w:t>
            </w:r>
          </w:p>
        </w:tc>
      </w:tr>
      <w:tr w:rsidR="00396190" w:rsidRPr="00396190" w:rsidTr="00396190">
        <w:trPr>
          <w:trHeight w:val="315"/>
        </w:trPr>
        <w:tc>
          <w:tcPr>
            <w:tcW w:w="2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E (Town of 1 000)</w:t>
            </w:r>
          </w:p>
        </w:tc>
        <w:tc>
          <w:tcPr>
            <w:tcW w:w="1036"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Broome</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0</w:t>
            </w:r>
          </w:p>
        </w:tc>
        <w:tc>
          <w:tcPr>
            <w:tcW w:w="178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xml:space="preserve">  54</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0.0</w:t>
            </w:r>
          </w:p>
        </w:tc>
        <w:tc>
          <w:tcPr>
            <w:tcW w:w="1140" w:type="dxa"/>
            <w:tcBorders>
              <w:top w:val="nil"/>
              <w:left w:val="nil"/>
              <w:bottom w:val="nil"/>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0.0</w:t>
            </w:r>
          </w:p>
        </w:tc>
      </w:tr>
      <w:tr w:rsidR="00396190" w:rsidRPr="00396190" w:rsidTr="00396190">
        <w:trPr>
          <w:trHeight w:val="315"/>
        </w:trPr>
        <w:tc>
          <w:tcPr>
            <w:tcW w:w="2780" w:type="dxa"/>
            <w:tcBorders>
              <w:top w:val="nil"/>
              <w:left w:val="nil"/>
              <w:bottom w:val="single" w:sz="4" w:space="0" w:color="auto"/>
              <w:right w:val="nil"/>
            </w:tcBorders>
            <w:shd w:val="clear" w:color="auto" w:fill="auto"/>
            <w:noWrap/>
            <w:hideMark/>
          </w:tcPr>
          <w:p w:rsidR="00396190" w:rsidRPr="00396190" w:rsidRDefault="00396190" w:rsidP="00396190">
            <w:pPr>
              <w:keepNext/>
              <w:keepLines/>
              <w:tabs>
                <w:tab w:val="clear" w:pos="567"/>
              </w:tabs>
              <w:spacing w:after="0" w:line="240" w:lineRule="auto"/>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Total</w:t>
            </w:r>
          </w:p>
        </w:tc>
        <w:tc>
          <w:tcPr>
            <w:tcW w:w="1036" w:type="dxa"/>
            <w:tcBorders>
              <w:top w:val="single" w:sz="4" w:space="0" w:color="auto"/>
              <w:left w:val="nil"/>
              <w:bottom w:val="single" w:sz="4" w:space="0" w:color="auto"/>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w:t>
            </w:r>
          </w:p>
        </w:tc>
        <w:tc>
          <w:tcPr>
            <w:tcW w:w="1140" w:type="dxa"/>
            <w:tcBorders>
              <w:top w:val="single" w:sz="4" w:space="0" w:color="auto"/>
              <w:left w:val="nil"/>
              <w:bottom w:val="single" w:sz="4" w:space="0" w:color="auto"/>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w:t>
            </w:r>
          </w:p>
        </w:tc>
        <w:tc>
          <w:tcPr>
            <w:tcW w:w="1780" w:type="dxa"/>
            <w:tcBorders>
              <w:top w:val="single" w:sz="4" w:space="0" w:color="auto"/>
              <w:left w:val="nil"/>
              <w:bottom w:val="single" w:sz="4" w:space="0" w:color="auto"/>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 </w:t>
            </w:r>
          </w:p>
        </w:tc>
        <w:tc>
          <w:tcPr>
            <w:tcW w:w="1140" w:type="dxa"/>
            <w:tcBorders>
              <w:top w:val="single" w:sz="4" w:space="0" w:color="auto"/>
              <w:left w:val="nil"/>
              <w:bottom w:val="single" w:sz="4" w:space="0" w:color="auto"/>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24.7</w:t>
            </w:r>
          </w:p>
        </w:tc>
        <w:tc>
          <w:tcPr>
            <w:tcW w:w="1140" w:type="dxa"/>
            <w:tcBorders>
              <w:top w:val="single" w:sz="4" w:space="0" w:color="auto"/>
              <w:left w:val="nil"/>
              <w:bottom w:val="single" w:sz="4" w:space="0" w:color="auto"/>
              <w:right w:val="nil"/>
            </w:tcBorders>
            <w:shd w:val="clear" w:color="auto" w:fill="auto"/>
            <w:noWrap/>
            <w:hideMark/>
          </w:tcPr>
          <w:p w:rsidR="00396190" w:rsidRPr="00396190" w:rsidRDefault="00396190" w:rsidP="00396190">
            <w:pPr>
              <w:keepNext/>
              <w:keepLines/>
              <w:tabs>
                <w:tab w:val="clear" w:pos="567"/>
              </w:tabs>
              <w:spacing w:after="0" w:line="240" w:lineRule="auto"/>
              <w:jc w:val="right"/>
              <w:rPr>
                <w:rFonts w:ascii="Calibri" w:eastAsia="Times New Roman" w:hAnsi="Calibri" w:cs="Calibri"/>
                <w:color w:val="000000"/>
                <w:sz w:val="20"/>
                <w:szCs w:val="20"/>
                <w:lang w:eastAsia="en-AU"/>
              </w:rPr>
            </w:pPr>
            <w:r w:rsidRPr="00396190">
              <w:rPr>
                <w:rFonts w:ascii="Calibri" w:eastAsia="Times New Roman" w:hAnsi="Calibri" w:cs="Calibri"/>
                <w:color w:val="000000"/>
                <w:sz w:val="20"/>
                <w:szCs w:val="20"/>
                <w:lang w:eastAsia="en-AU"/>
              </w:rPr>
              <w:t>9.0</w:t>
            </w:r>
          </w:p>
        </w:tc>
      </w:tr>
    </w:tbl>
    <w:p w:rsidR="00671B1F" w:rsidRDefault="00D04044" w:rsidP="00D04044">
      <w:pPr>
        <w:pStyle w:val="CGCNumberedPara"/>
      </w:pPr>
      <w:r>
        <w:fldChar w:fldCharType="begin"/>
      </w:r>
      <w:r>
        <w:instrText xml:space="preserve"> REF _Ref353453325 \h </w:instrText>
      </w:r>
      <w:r>
        <w:fldChar w:fldCharType="separate"/>
      </w:r>
      <w:r w:rsidR="005255E7">
        <w:t xml:space="preserve">Table </w:t>
      </w:r>
      <w:r w:rsidR="005255E7">
        <w:rPr>
          <w:noProof/>
        </w:rPr>
        <w:t>3</w:t>
      </w:r>
      <w:r>
        <w:fldChar w:fldCharType="end"/>
      </w:r>
      <w:r>
        <w:t xml:space="preserve"> shows the impact of truncation is greatest in Western Australia. If we were to introduce truncation as ARIA does, Broome, Karratha, Port Hedland, and some smaller towns would be reclassified as remote rather than very remote. 45,000 people lived in such areas in 2006.  </w:t>
      </w:r>
      <w:r w:rsidR="008D707F">
        <w:t xml:space="preserve">Given that there can be a considerable cost difference between remote and very remote areas, the decision to truncate or not to truncate is likely to be material. </w:t>
      </w:r>
    </w:p>
    <w:p w:rsidR="00671B1F" w:rsidRDefault="00D04044" w:rsidP="00D04044">
      <w:pPr>
        <w:pStyle w:val="Caption"/>
      </w:pPr>
      <w:bookmarkStart w:id="30" w:name="_Ref353453325"/>
      <w:r>
        <w:lastRenderedPageBreak/>
        <w:t xml:space="preserve">Table </w:t>
      </w:r>
      <w:r w:rsidR="002C4517">
        <w:fldChar w:fldCharType="begin"/>
      </w:r>
      <w:r w:rsidR="002C4517">
        <w:instrText xml:space="preserve"> SEQ </w:instrText>
      </w:r>
      <w:r w:rsidR="002C4517">
        <w:instrText xml:space="preserve">Table \* ARABIC </w:instrText>
      </w:r>
      <w:r w:rsidR="002C4517">
        <w:fldChar w:fldCharType="separate"/>
      </w:r>
      <w:r w:rsidR="005255E7">
        <w:rPr>
          <w:noProof/>
        </w:rPr>
        <w:t>3</w:t>
      </w:r>
      <w:r w:rsidR="002C4517">
        <w:rPr>
          <w:noProof/>
        </w:rPr>
        <w:fldChar w:fldCharType="end"/>
      </w:r>
      <w:bookmarkEnd w:id="30"/>
      <w:r>
        <w:tab/>
        <w:t>Impact of introducing truncation of distance ratios</w:t>
      </w:r>
    </w:p>
    <w:tbl>
      <w:tblPr>
        <w:tblW w:w="9074" w:type="dxa"/>
        <w:tblLayout w:type="fixed"/>
        <w:tblCellMar>
          <w:left w:w="0" w:type="dxa"/>
          <w:right w:w="0" w:type="dxa"/>
        </w:tblCellMar>
        <w:tblLook w:val="04A0" w:firstRow="1" w:lastRow="0" w:firstColumn="1" w:lastColumn="0" w:noHBand="0" w:noVBand="1"/>
      </w:tblPr>
      <w:tblGrid>
        <w:gridCol w:w="936"/>
        <w:gridCol w:w="1071"/>
        <w:gridCol w:w="389"/>
        <w:gridCol w:w="2654"/>
        <w:gridCol w:w="838"/>
        <w:gridCol w:w="1071"/>
        <w:gridCol w:w="315"/>
        <w:gridCol w:w="1800"/>
      </w:tblGrid>
      <w:tr w:rsidR="00D04044" w:rsidRPr="00D04044" w:rsidTr="00D04044">
        <w:trPr>
          <w:trHeight w:val="315"/>
        </w:trPr>
        <w:tc>
          <w:tcPr>
            <w:tcW w:w="936" w:type="dxa"/>
            <w:tcBorders>
              <w:top w:val="single" w:sz="4" w:space="0" w:color="auto"/>
              <w:left w:val="nil"/>
              <w:bottom w:val="nil"/>
              <w:right w:val="nil"/>
            </w:tcBorders>
            <w:shd w:val="clear" w:color="auto" w:fill="auto"/>
            <w:noWrap/>
            <w:vAlign w:val="center"/>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bookmarkStart w:id="31" w:name="RANGE!A4:H11"/>
            <w:bookmarkStart w:id="32" w:name="RANGE!A4:F11"/>
            <w:bookmarkEnd w:id="31"/>
            <w:r w:rsidRPr="00D04044">
              <w:rPr>
                <w:rFonts w:ascii="Calibri" w:eastAsia="Times New Roman" w:hAnsi="Calibri" w:cs="Calibri"/>
                <w:sz w:val="20"/>
                <w:szCs w:val="20"/>
                <w:lang w:eastAsia="en-AU"/>
              </w:rPr>
              <w:t> </w:t>
            </w:r>
            <w:bookmarkEnd w:id="32"/>
          </w:p>
        </w:tc>
        <w:tc>
          <w:tcPr>
            <w:tcW w:w="4114" w:type="dxa"/>
            <w:gridSpan w:val="3"/>
            <w:tcBorders>
              <w:top w:val="single" w:sz="4" w:space="0" w:color="auto"/>
              <w:left w:val="nil"/>
              <w:bottom w:val="single" w:sz="4" w:space="0" w:color="auto"/>
              <w:right w:val="nil"/>
            </w:tcBorders>
            <w:shd w:val="clear" w:color="auto" w:fill="auto"/>
            <w:noWrap/>
            <w:vAlign w:val="center"/>
            <w:hideMark/>
          </w:tcPr>
          <w:p w:rsidR="00D04044" w:rsidRPr="00D04044" w:rsidRDefault="00D04044" w:rsidP="00396190">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Very remote </w:t>
            </w:r>
            <w:r w:rsidR="00396190">
              <w:rPr>
                <w:rFonts w:ascii="Calibri" w:eastAsia="Times New Roman" w:hAnsi="Calibri" w:cs="Calibri"/>
                <w:sz w:val="20"/>
                <w:szCs w:val="20"/>
                <w:lang w:eastAsia="en-AU"/>
              </w:rPr>
              <w:t xml:space="preserve">(SARIA) and </w:t>
            </w:r>
            <w:r w:rsidRPr="00D04044">
              <w:rPr>
                <w:rFonts w:ascii="Calibri" w:eastAsia="Times New Roman" w:hAnsi="Calibri" w:cs="Calibri"/>
                <w:sz w:val="20"/>
                <w:szCs w:val="20"/>
                <w:lang w:eastAsia="en-AU"/>
              </w:rPr>
              <w:t>remote</w:t>
            </w:r>
            <w:r w:rsidR="00396190">
              <w:rPr>
                <w:rFonts w:ascii="Calibri" w:eastAsia="Times New Roman" w:hAnsi="Calibri" w:cs="Calibri"/>
                <w:sz w:val="20"/>
                <w:szCs w:val="20"/>
                <w:lang w:eastAsia="en-AU"/>
              </w:rPr>
              <w:t xml:space="preserve"> (ARIA)</w:t>
            </w:r>
          </w:p>
        </w:tc>
        <w:tc>
          <w:tcPr>
            <w:tcW w:w="838" w:type="dxa"/>
            <w:tcBorders>
              <w:top w:val="single" w:sz="4" w:space="0" w:color="auto"/>
              <w:left w:val="nil"/>
              <w:bottom w:val="nil"/>
              <w:right w:val="nil"/>
            </w:tcBorders>
            <w:shd w:val="clear" w:color="auto" w:fill="auto"/>
            <w:noWrap/>
            <w:vAlign w:val="center"/>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c>
          <w:tcPr>
            <w:tcW w:w="3186" w:type="dxa"/>
            <w:gridSpan w:val="3"/>
            <w:tcBorders>
              <w:top w:val="single" w:sz="4" w:space="0" w:color="auto"/>
              <w:left w:val="nil"/>
              <w:bottom w:val="single" w:sz="4" w:space="0" w:color="auto"/>
              <w:right w:val="nil"/>
            </w:tcBorders>
            <w:shd w:val="clear" w:color="auto" w:fill="auto"/>
            <w:vAlign w:val="center"/>
            <w:hideMark/>
          </w:tcPr>
          <w:p w:rsidR="00D04044" w:rsidRPr="00D04044" w:rsidRDefault="00D04044" w:rsidP="00396190">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Remote </w:t>
            </w:r>
            <w:r w:rsidR="00396190">
              <w:rPr>
                <w:rFonts w:ascii="Calibri" w:eastAsia="Times New Roman" w:hAnsi="Calibri" w:cs="Calibri"/>
                <w:sz w:val="20"/>
                <w:szCs w:val="20"/>
                <w:lang w:eastAsia="en-AU"/>
              </w:rPr>
              <w:t xml:space="preserve">(SARIA ) and </w:t>
            </w:r>
            <w:r w:rsidR="00396190">
              <w:rPr>
                <w:rFonts w:ascii="Calibri" w:eastAsia="Times New Roman" w:hAnsi="Calibri" w:cs="Calibri"/>
                <w:sz w:val="20"/>
                <w:szCs w:val="20"/>
                <w:lang w:eastAsia="en-AU"/>
              </w:rPr>
              <w:br/>
            </w:r>
            <w:r w:rsidRPr="00D04044">
              <w:rPr>
                <w:rFonts w:ascii="Calibri" w:eastAsia="Times New Roman" w:hAnsi="Calibri" w:cs="Calibri"/>
                <w:sz w:val="20"/>
                <w:szCs w:val="20"/>
                <w:lang w:eastAsia="en-AU"/>
              </w:rPr>
              <w:t>moderately accessible</w:t>
            </w:r>
            <w:r w:rsidR="00396190">
              <w:rPr>
                <w:rFonts w:ascii="Calibri" w:eastAsia="Times New Roman" w:hAnsi="Calibri" w:cs="Calibri"/>
                <w:sz w:val="20"/>
                <w:szCs w:val="20"/>
                <w:lang w:eastAsia="en-AU"/>
              </w:rPr>
              <w:t xml:space="preserve"> (ARIA)</w:t>
            </w:r>
          </w:p>
        </w:tc>
      </w:tr>
      <w:tr w:rsidR="00D04044" w:rsidRPr="00D04044" w:rsidTr="00D04044">
        <w:trPr>
          <w:trHeight w:val="555"/>
        </w:trPr>
        <w:tc>
          <w:tcPr>
            <w:tcW w:w="936" w:type="dxa"/>
            <w:tcBorders>
              <w:top w:val="nil"/>
              <w:left w:val="nil"/>
              <w:bottom w:val="single" w:sz="4" w:space="0" w:color="auto"/>
              <w:right w:val="nil"/>
            </w:tcBorders>
            <w:shd w:val="clear" w:color="auto" w:fill="auto"/>
            <w:noWrap/>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State</w:t>
            </w:r>
          </w:p>
        </w:tc>
        <w:tc>
          <w:tcPr>
            <w:tcW w:w="1071" w:type="dxa"/>
            <w:tcBorders>
              <w:top w:val="nil"/>
              <w:left w:val="nil"/>
              <w:bottom w:val="single" w:sz="4" w:space="0" w:color="auto"/>
              <w:right w:val="nil"/>
            </w:tcBorders>
            <w:shd w:val="clear" w:color="auto" w:fill="auto"/>
            <w:noWrap/>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Population</w:t>
            </w:r>
          </w:p>
        </w:tc>
        <w:tc>
          <w:tcPr>
            <w:tcW w:w="389" w:type="dxa"/>
            <w:tcBorders>
              <w:top w:val="nil"/>
              <w:left w:val="nil"/>
              <w:bottom w:val="single" w:sz="4" w:space="0" w:color="auto"/>
              <w:right w:val="nil"/>
            </w:tcBorders>
            <w:shd w:val="clear" w:color="auto" w:fill="auto"/>
            <w:noWrap/>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c>
          <w:tcPr>
            <w:tcW w:w="2654" w:type="dxa"/>
            <w:tcBorders>
              <w:top w:val="nil"/>
              <w:left w:val="nil"/>
              <w:bottom w:val="single" w:sz="4" w:space="0" w:color="auto"/>
              <w:right w:val="nil"/>
            </w:tcBorders>
            <w:shd w:val="clear" w:color="auto" w:fill="auto"/>
            <w:noWrap/>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Largest towns affected</w:t>
            </w:r>
          </w:p>
        </w:tc>
        <w:tc>
          <w:tcPr>
            <w:tcW w:w="838" w:type="dxa"/>
            <w:tcBorders>
              <w:top w:val="nil"/>
              <w:left w:val="nil"/>
              <w:bottom w:val="single" w:sz="4" w:space="0" w:color="auto"/>
              <w:right w:val="nil"/>
            </w:tcBorders>
            <w:shd w:val="clear" w:color="auto" w:fill="auto"/>
            <w:noWrap/>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c>
          <w:tcPr>
            <w:tcW w:w="1071" w:type="dxa"/>
            <w:tcBorders>
              <w:top w:val="nil"/>
              <w:left w:val="nil"/>
              <w:bottom w:val="single" w:sz="4" w:space="0" w:color="auto"/>
              <w:right w:val="nil"/>
            </w:tcBorders>
            <w:shd w:val="clear" w:color="auto" w:fill="auto"/>
            <w:noWrap/>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Population</w:t>
            </w:r>
          </w:p>
        </w:tc>
        <w:tc>
          <w:tcPr>
            <w:tcW w:w="315" w:type="dxa"/>
            <w:tcBorders>
              <w:top w:val="nil"/>
              <w:left w:val="nil"/>
              <w:bottom w:val="single" w:sz="4" w:space="0" w:color="auto"/>
              <w:right w:val="nil"/>
            </w:tcBorders>
            <w:shd w:val="clear" w:color="auto" w:fill="auto"/>
            <w:noWrap/>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c>
          <w:tcPr>
            <w:tcW w:w="1800" w:type="dxa"/>
            <w:tcBorders>
              <w:top w:val="nil"/>
              <w:left w:val="nil"/>
              <w:bottom w:val="single" w:sz="4" w:space="0" w:color="auto"/>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Largest towns affected</w:t>
            </w:r>
          </w:p>
        </w:tc>
      </w:tr>
      <w:tr w:rsidR="00D04044" w:rsidRPr="00D04044" w:rsidTr="00D04044">
        <w:trPr>
          <w:trHeight w:val="315"/>
        </w:trPr>
        <w:tc>
          <w:tcPr>
            <w:tcW w:w="936"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NSW</w:t>
            </w: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1 430</w:t>
            </w:r>
          </w:p>
        </w:tc>
        <w:tc>
          <w:tcPr>
            <w:tcW w:w="389"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2654"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p>
        </w:tc>
        <w:tc>
          <w:tcPr>
            <w:tcW w:w="838"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20 131</w:t>
            </w:r>
          </w:p>
        </w:tc>
        <w:tc>
          <w:tcPr>
            <w:tcW w:w="315"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800" w:type="dxa"/>
            <w:tcBorders>
              <w:top w:val="nil"/>
              <w:left w:val="nil"/>
              <w:bottom w:val="nil"/>
              <w:right w:val="nil"/>
            </w:tcBorders>
            <w:shd w:val="clear" w:color="auto" w:fill="auto"/>
            <w:noWrap/>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Broken Hill</w:t>
            </w:r>
          </w:p>
        </w:tc>
      </w:tr>
      <w:tr w:rsidR="00D04044" w:rsidRPr="00D04044" w:rsidTr="00D04044">
        <w:trPr>
          <w:trHeight w:val="315"/>
        </w:trPr>
        <w:tc>
          <w:tcPr>
            <w:tcW w:w="936"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Qld</w:t>
            </w: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6 823</w:t>
            </w:r>
          </w:p>
        </w:tc>
        <w:tc>
          <w:tcPr>
            <w:tcW w:w="389"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2654"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Charleville</w:t>
            </w:r>
          </w:p>
        </w:tc>
        <w:tc>
          <w:tcPr>
            <w:tcW w:w="838"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17 938</w:t>
            </w:r>
          </w:p>
        </w:tc>
        <w:tc>
          <w:tcPr>
            <w:tcW w:w="315"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800" w:type="dxa"/>
            <w:tcBorders>
              <w:top w:val="nil"/>
              <w:left w:val="nil"/>
              <w:bottom w:val="nil"/>
              <w:right w:val="nil"/>
            </w:tcBorders>
            <w:shd w:val="clear" w:color="auto" w:fill="auto"/>
            <w:noWrap/>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Cardwell</w:t>
            </w:r>
          </w:p>
        </w:tc>
      </w:tr>
      <w:tr w:rsidR="00D04044" w:rsidRPr="00D04044" w:rsidTr="00D04044">
        <w:trPr>
          <w:trHeight w:val="315"/>
        </w:trPr>
        <w:tc>
          <w:tcPr>
            <w:tcW w:w="936"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WA</w:t>
            </w: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44 527</w:t>
            </w:r>
          </w:p>
        </w:tc>
        <w:tc>
          <w:tcPr>
            <w:tcW w:w="389"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2654"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Broome, Karratha, Port Hedland</w:t>
            </w:r>
          </w:p>
        </w:tc>
        <w:tc>
          <w:tcPr>
            <w:tcW w:w="838"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0</w:t>
            </w:r>
          </w:p>
        </w:tc>
        <w:tc>
          <w:tcPr>
            <w:tcW w:w="315"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800" w:type="dxa"/>
            <w:tcBorders>
              <w:top w:val="nil"/>
              <w:left w:val="nil"/>
              <w:bottom w:val="nil"/>
              <w:right w:val="nil"/>
            </w:tcBorders>
            <w:shd w:val="clear" w:color="auto" w:fill="auto"/>
            <w:noWrap/>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p>
        </w:tc>
      </w:tr>
      <w:tr w:rsidR="00D04044" w:rsidRPr="00D04044" w:rsidTr="00D04044">
        <w:trPr>
          <w:trHeight w:val="315"/>
        </w:trPr>
        <w:tc>
          <w:tcPr>
            <w:tcW w:w="936"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SA</w:t>
            </w: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2 995</w:t>
            </w:r>
          </w:p>
        </w:tc>
        <w:tc>
          <w:tcPr>
            <w:tcW w:w="389"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2654"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Ceduna</w:t>
            </w:r>
          </w:p>
        </w:tc>
        <w:tc>
          <w:tcPr>
            <w:tcW w:w="838"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0</w:t>
            </w:r>
          </w:p>
        </w:tc>
        <w:tc>
          <w:tcPr>
            <w:tcW w:w="315"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800" w:type="dxa"/>
            <w:tcBorders>
              <w:top w:val="nil"/>
              <w:left w:val="nil"/>
              <w:bottom w:val="nil"/>
              <w:right w:val="nil"/>
            </w:tcBorders>
            <w:shd w:val="clear" w:color="auto" w:fill="auto"/>
            <w:noWrap/>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p>
        </w:tc>
      </w:tr>
      <w:tr w:rsidR="00D04044" w:rsidRPr="00D04044" w:rsidTr="00D04044">
        <w:trPr>
          <w:trHeight w:val="315"/>
        </w:trPr>
        <w:tc>
          <w:tcPr>
            <w:tcW w:w="936"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NT</w:t>
            </w: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6 252</w:t>
            </w:r>
          </w:p>
        </w:tc>
        <w:tc>
          <w:tcPr>
            <w:tcW w:w="389"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2654"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Maningrida</w:t>
            </w:r>
          </w:p>
        </w:tc>
        <w:tc>
          <w:tcPr>
            <w:tcW w:w="838"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071"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0</w:t>
            </w:r>
          </w:p>
        </w:tc>
        <w:tc>
          <w:tcPr>
            <w:tcW w:w="315" w:type="dxa"/>
            <w:tcBorders>
              <w:top w:val="nil"/>
              <w:left w:val="nil"/>
              <w:bottom w:val="nil"/>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p>
        </w:tc>
        <w:tc>
          <w:tcPr>
            <w:tcW w:w="1800" w:type="dxa"/>
            <w:tcBorders>
              <w:top w:val="nil"/>
              <w:left w:val="nil"/>
              <w:bottom w:val="nil"/>
              <w:right w:val="nil"/>
            </w:tcBorders>
            <w:shd w:val="clear" w:color="auto" w:fill="auto"/>
            <w:noWrap/>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p>
        </w:tc>
      </w:tr>
      <w:tr w:rsidR="00D04044" w:rsidRPr="00D04044" w:rsidTr="00D04044">
        <w:trPr>
          <w:trHeight w:val="315"/>
        </w:trPr>
        <w:tc>
          <w:tcPr>
            <w:tcW w:w="936" w:type="dxa"/>
            <w:tcBorders>
              <w:top w:val="nil"/>
              <w:left w:val="nil"/>
              <w:bottom w:val="single" w:sz="4" w:space="0" w:color="auto"/>
              <w:right w:val="nil"/>
            </w:tcBorders>
            <w:shd w:val="clear" w:color="auto" w:fill="auto"/>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Total</w:t>
            </w:r>
          </w:p>
        </w:tc>
        <w:tc>
          <w:tcPr>
            <w:tcW w:w="1071" w:type="dxa"/>
            <w:tcBorders>
              <w:top w:val="single" w:sz="4" w:space="0" w:color="auto"/>
              <w:left w:val="nil"/>
              <w:bottom w:val="single" w:sz="4" w:space="0" w:color="auto"/>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62 027</w:t>
            </w:r>
          </w:p>
        </w:tc>
        <w:tc>
          <w:tcPr>
            <w:tcW w:w="389" w:type="dxa"/>
            <w:tcBorders>
              <w:top w:val="single" w:sz="4" w:space="0" w:color="auto"/>
              <w:left w:val="nil"/>
              <w:bottom w:val="single" w:sz="4" w:space="0" w:color="auto"/>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c>
          <w:tcPr>
            <w:tcW w:w="2654" w:type="dxa"/>
            <w:tcBorders>
              <w:top w:val="single" w:sz="4" w:space="0" w:color="auto"/>
              <w:left w:val="nil"/>
              <w:bottom w:val="single" w:sz="4" w:space="0" w:color="auto"/>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c>
          <w:tcPr>
            <w:tcW w:w="838" w:type="dxa"/>
            <w:tcBorders>
              <w:top w:val="single" w:sz="4" w:space="0" w:color="auto"/>
              <w:left w:val="nil"/>
              <w:bottom w:val="single" w:sz="4" w:space="0" w:color="auto"/>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c>
          <w:tcPr>
            <w:tcW w:w="1071" w:type="dxa"/>
            <w:tcBorders>
              <w:top w:val="single" w:sz="4" w:space="0" w:color="auto"/>
              <w:left w:val="nil"/>
              <w:bottom w:val="single" w:sz="4" w:space="0" w:color="auto"/>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xml:space="preserve"> 38 069</w:t>
            </w:r>
          </w:p>
        </w:tc>
        <w:tc>
          <w:tcPr>
            <w:tcW w:w="315" w:type="dxa"/>
            <w:tcBorders>
              <w:top w:val="single" w:sz="4" w:space="0" w:color="auto"/>
              <w:left w:val="nil"/>
              <w:bottom w:val="single" w:sz="4" w:space="0" w:color="auto"/>
              <w:right w:val="nil"/>
            </w:tcBorders>
            <w:shd w:val="clear" w:color="auto" w:fill="auto"/>
            <w:hideMark/>
          </w:tcPr>
          <w:p w:rsidR="00D04044" w:rsidRPr="00D04044" w:rsidRDefault="00D04044" w:rsidP="00D04044">
            <w:pPr>
              <w:keepNext/>
              <w:keepLines/>
              <w:tabs>
                <w:tab w:val="clear" w:pos="567"/>
              </w:tabs>
              <w:spacing w:after="0" w:line="240" w:lineRule="auto"/>
              <w:jc w:val="right"/>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c>
          <w:tcPr>
            <w:tcW w:w="1800" w:type="dxa"/>
            <w:tcBorders>
              <w:top w:val="single" w:sz="4" w:space="0" w:color="auto"/>
              <w:left w:val="nil"/>
              <w:bottom w:val="single" w:sz="4" w:space="0" w:color="auto"/>
              <w:right w:val="nil"/>
            </w:tcBorders>
            <w:shd w:val="clear" w:color="auto" w:fill="auto"/>
            <w:noWrap/>
            <w:hideMark/>
          </w:tcPr>
          <w:p w:rsidR="00D04044" w:rsidRPr="00D04044" w:rsidRDefault="00D04044" w:rsidP="00D04044">
            <w:pPr>
              <w:keepNext/>
              <w:keepLines/>
              <w:tabs>
                <w:tab w:val="clear" w:pos="567"/>
              </w:tabs>
              <w:spacing w:after="0" w:line="240" w:lineRule="auto"/>
              <w:rPr>
                <w:rFonts w:ascii="Calibri" w:eastAsia="Times New Roman" w:hAnsi="Calibri" w:cs="Calibri"/>
                <w:sz w:val="20"/>
                <w:szCs w:val="20"/>
                <w:lang w:eastAsia="en-AU"/>
              </w:rPr>
            </w:pPr>
            <w:r w:rsidRPr="00D04044">
              <w:rPr>
                <w:rFonts w:ascii="Calibri" w:eastAsia="Times New Roman" w:hAnsi="Calibri" w:cs="Calibri"/>
                <w:sz w:val="20"/>
                <w:szCs w:val="20"/>
                <w:lang w:eastAsia="en-AU"/>
              </w:rPr>
              <w:t> </w:t>
            </w:r>
          </w:p>
        </w:tc>
      </w:tr>
    </w:tbl>
    <w:p w:rsidR="00396190" w:rsidRDefault="00396190" w:rsidP="00396190">
      <w:pPr>
        <w:pStyle w:val="CGCTableFootnote"/>
      </w:pPr>
      <w:r>
        <w:t>Source: Commission calculation</w:t>
      </w:r>
    </w:p>
    <w:p w:rsidR="00D04044" w:rsidRDefault="00D04044" w:rsidP="00EE3714">
      <w:pPr>
        <w:pStyle w:val="CGCNumberedPara"/>
      </w:pPr>
      <w:r>
        <w:t>Conceptually, we consider the impact of distance does not cease at three times the national average distance. Broome, being 2</w:t>
      </w:r>
      <w:r w:rsidR="00F70A7C">
        <w:t xml:space="preserve"> </w:t>
      </w:r>
      <w:r>
        <w:t>000km from Perth, faces greater isolation and higher costs</w:t>
      </w:r>
      <w:r w:rsidR="00F70A7C">
        <w:t xml:space="preserve"> than a town at the threshold distance of 1 170km. However, we also consider that towns of over 12</w:t>
      </w:r>
      <w:r w:rsidR="000C4123">
        <w:t> </w:t>
      </w:r>
      <w:r w:rsidR="00F70A7C">
        <w:t>000 people are fundamentally less isolated than other very remote locations.</w:t>
      </w:r>
      <w:r w:rsidR="008D707F">
        <w:t xml:space="preserve"> </w:t>
      </w:r>
    </w:p>
    <w:p w:rsidR="00F70A7C" w:rsidRDefault="00CB6FE9" w:rsidP="00F70A7C">
      <w:pPr>
        <w:pStyle w:val="Heading4"/>
        <w:rPr>
          <w:rStyle w:val="Heading5Char"/>
          <w:b/>
        </w:rPr>
      </w:pPr>
      <w:bookmarkStart w:id="33" w:name="_Toc354414567"/>
      <w:bookmarkStart w:id="34" w:name="_Toc354415056"/>
      <w:bookmarkStart w:id="35" w:name="_Toc354495577"/>
      <w:r>
        <w:rPr>
          <w:rStyle w:val="Heading5Char"/>
          <w:b/>
        </w:rPr>
        <w:t>Population estimates</w:t>
      </w:r>
      <w:bookmarkEnd w:id="33"/>
      <w:bookmarkEnd w:id="34"/>
      <w:bookmarkEnd w:id="35"/>
    </w:p>
    <w:p w:rsidR="00F70A7C" w:rsidRDefault="00CB6FE9" w:rsidP="00F70A7C">
      <w:pPr>
        <w:pStyle w:val="CGCNumberedPara"/>
      </w:pPr>
      <w:r>
        <w:t xml:space="preserve">The production of ARIA and SARIA both require estimates of the population in urban centres. ARIA has been calculated on the basis of the enumerated census count. SARIA has been calculated on the basis of usual resident census counts. </w:t>
      </w:r>
    </w:p>
    <w:p w:rsidR="008D707F" w:rsidRDefault="003938EB" w:rsidP="00F70A7C">
      <w:pPr>
        <w:pStyle w:val="CGCNumberedPara"/>
      </w:pPr>
      <w:r>
        <w:t xml:space="preserve">In </w:t>
      </w:r>
      <w:r w:rsidR="003A781B">
        <w:t xml:space="preserve">the </w:t>
      </w:r>
      <w:r>
        <w:t xml:space="preserve">2011 </w:t>
      </w:r>
      <w:r w:rsidR="003A781B">
        <w:t>C</w:t>
      </w:r>
      <w:r>
        <w:t>ensus, t</w:t>
      </w:r>
      <w:r w:rsidR="003124CC">
        <w:t>here are 4</w:t>
      </w:r>
      <w:r>
        <w:t>6</w:t>
      </w:r>
      <w:r w:rsidR="003124CC">
        <w:t xml:space="preserve"> centres that change </w:t>
      </w:r>
      <w:r>
        <w:t xml:space="preserve">their classification depending on </w:t>
      </w:r>
      <w:r w:rsidR="003A781B">
        <w:t xml:space="preserve">the </w:t>
      </w:r>
      <w:r>
        <w:t>concept we use. Most of these are based on very small changes that tip a centre across the 1</w:t>
      </w:r>
      <w:r w:rsidR="000C4123">
        <w:t> </w:t>
      </w:r>
      <w:r>
        <w:t xml:space="preserve">000 population threshold for an E </w:t>
      </w:r>
      <w:r w:rsidR="000C4123">
        <w:t>service centre</w:t>
      </w:r>
      <w:r>
        <w:t xml:space="preserve">. Some of these changes are based on an influx of tourism, including 5 ski field villages, and a number of beaches, including Byron Bay and Mission </w:t>
      </w:r>
      <w:r w:rsidR="003A781B">
        <w:t>B</w:t>
      </w:r>
      <w:r>
        <w:t>each. In the past it was the seasonal nature of this influx that led us to using usual resident census counts. However, the impact of fly-in-fly-out (FIFO) workers appears to be having an impact. Broome has 12</w:t>
      </w:r>
      <w:r w:rsidR="000C4123">
        <w:t> </w:t>
      </w:r>
      <w:r>
        <w:t>800 usual residents, but 18</w:t>
      </w:r>
      <w:r w:rsidR="000C4123">
        <w:t> </w:t>
      </w:r>
      <w:r>
        <w:t>600 enumerated population. Karratha also moves across the 18</w:t>
      </w:r>
      <w:r w:rsidR="000C4123">
        <w:t> </w:t>
      </w:r>
      <w:r>
        <w:t>000 threshold, from 16</w:t>
      </w:r>
      <w:r w:rsidR="000C4123">
        <w:t> </w:t>
      </w:r>
      <w:r>
        <w:t>500 to 20</w:t>
      </w:r>
      <w:r w:rsidR="000C4123">
        <w:t> </w:t>
      </w:r>
      <w:r>
        <w:t>000. Kununurra, Carnarvon and Roxby Downs are among the towns crossing the 5</w:t>
      </w:r>
      <w:r w:rsidR="000C4123">
        <w:t> </w:t>
      </w:r>
      <w:r>
        <w:t xml:space="preserve">000 threshold. The impact of FIFO workers is likely to be less seasonal than the </w:t>
      </w:r>
      <w:r w:rsidR="008C7A4D">
        <w:t xml:space="preserve">tourists to the ski fields, and so the enumerated population may better reflect the nature of the service centres. </w:t>
      </w:r>
    </w:p>
    <w:p w:rsidR="003938EB" w:rsidRDefault="008D707F" w:rsidP="00F70A7C">
      <w:pPr>
        <w:pStyle w:val="CGCNumberedPara"/>
      </w:pPr>
      <w:r>
        <w:t>The central question is whether</w:t>
      </w:r>
      <w:r w:rsidR="000C1370">
        <w:t xml:space="preserve">, given </w:t>
      </w:r>
      <w:r>
        <w:t xml:space="preserve">the itinerant nature of the populations in </w:t>
      </w:r>
      <w:r w:rsidR="000C1370">
        <w:t xml:space="preserve">these towns whether the level and range of services provided by both State government and non-State government providers are more similar to those of towns with similar usual resident populations or similar enumerated populations. We have little data upon which to make a recommendation. </w:t>
      </w:r>
    </w:p>
    <w:p w:rsidR="007719F6" w:rsidRDefault="007719F6" w:rsidP="007719F6">
      <w:pPr>
        <w:pStyle w:val="Heading3"/>
        <w:rPr>
          <w:rStyle w:val="Heading5Char"/>
          <w:b/>
        </w:rPr>
      </w:pPr>
      <w:bookmarkStart w:id="36" w:name="_Toc354415057"/>
      <w:bookmarkStart w:id="37" w:name="_Toc354495578"/>
      <w:bookmarkStart w:id="38" w:name="_Toc354414568"/>
      <w:r>
        <w:rPr>
          <w:rStyle w:val="Heading5Char"/>
          <w:b/>
        </w:rPr>
        <w:lastRenderedPageBreak/>
        <w:t>Other criteria for determining CGC classification of remoteness</w:t>
      </w:r>
      <w:bookmarkEnd w:id="36"/>
      <w:bookmarkEnd w:id="37"/>
    </w:p>
    <w:p w:rsidR="00EE331E" w:rsidRDefault="00EE331E" w:rsidP="007719F6">
      <w:pPr>
        <w:pStyle w:val="Heading4"/>
        <w:rPr>
          <w:rStyle w:val="Heading5Char"/>
          <w:b/>
        </w:rPr>
      </w:pPr>
      <w:bookmarkStart w:id="39" w:name="_Toc354415058"/>
      <w:bookmarkStart w:id="40" w:name="_Toc354495579"/>
      <w:r>
        <w:rPr>
          <w:rStyle w:val="Heading5Char"/>
          <w:b/>
        </w:rPr>
        <w:t xml:space="preserve">Impact on </w:t>
      </w:r>
      <w:r w:rsidR="00D47021">
        <w:rPr>
          <w:rStyle w:val="Heading5Char"/>
          <w:b/>
        </w:rPr>
        <w:t>interstate freight assessment</w:t>
      </w:r>
      <w:bookmarkEnd w:id="38"/>
      <w:bookmarkEnd w:id="39"/>
      <w:bookmarkEnd w:id="40"/>
      <w:r w:rsidR="00D47021">
        <w:rPr>
          <w:rStyle w:val="Heading5Char"/>
          <w:b/>
        </w:rPr>
        <w:t xml:space="preserve"> </w:t>
      </w:r>
    </w:p>
    <w:p w:rsidR="00EE331E" w:rsidRDefault="00EE331E" w:rsidP="00EE331E">
      <w:pPr>
        <w:pStyle w:val="CGCNumberedPara"/>
      </w:pPr>
      <w:r>
        <w:t xml:space="preserve">In the 2010 location assessment, we currently assess interstate freight. The States’ shares of total freight expenditure was estimated by the commission using judgment. This assessment received a high discount (50%) </w:t>
      </w:r>
      <w:r w:rsidR="000C1370">
        <w:t>‘</w:t>
      </w:r>
      <w:r>
        <w:t>to reflect our strong concerns about data uncertainty</w:t>
      </w:r>
      <w:r w:rsidR="000C1370">
        <w:t>’</w:t>
      </w:r>
      <w:r>
        <w:t>.</w:t>
      </w:r>
    </w:p>
    <w:p w:rsidR="00EE331E" w:rsidRPr="000C1370" w:rsidRDefault="00EE331E" w:rsidP="00EE331E">
      <w:pPr>
        <w:pStyle w:val="CGCNumberedPara"/>
        <w:rPr>
          <w:rStyle w:val="Heading5Char"/>
          <w:b w:val="0"/>
          <w:szCs w:val="24"/>
        </w:rPr>
      </w:pPr>
      <w:r w:rsidRPr="000C1370">
        <w:rPr>
          <w:rStyle w:val="Heading5Char"/>
          <w:b w:val="0"/>
          <w:szCs w:val="24"/>
        </w:rPr>
        <w:t xml:space="preserve">The States with the greatest disabilities in interstate freight are Tasmania and the Northern Territory, reflecting that Hobart and Darwin are relatively small, and they are large distances from large population centres. If we were to adopt ARIA instead of SARIA, </w:t>
      </w:r>
      <w:r w:rsidR="000C1370" w:rsidRPr="000C1370">
        <w:rPr>
          <w:rStyle w:val="Heading5Char"/>
          <w:b w:val="0"/>
          <w:szCs w:val="24"/>
        </w:rPr>
        <w:t xml:space="preserve">the regional costs assessment would incorporate the high cost of isolation faced by these isolated States. </w:t>
      </w:r>
      <w:r w:rsidR="000C1370">
        <w:rPr>
          <w:rStyle w:val="Heading5Char"/>
          <w:b w:val="0"/>
          <w:szCs w:val="24"/>
        </w:rPr>
        <w:t>T</w:t>
      </w:r>
      <w:r w:rsidRPr="000C1370">
        <w:rPr>
          <w:rStyle w:val="Heading5Char"/>
          <w:b w:val="0"/>
          <w:szCs w:val="24"/>
        </w:rPr>
        <w:t xml:space="preserve">he commission </w:t>
      </w:r>
      <w:r w:rsidR="000C1370">
        <w:rPr>
          <w:rStyle w:val="Heading5Char"/>
          <w:b w:val="0"/>
          <w:szCs w:val="24"/>
        </w:rPr>
        <w:t>may, therefore,</w:t>
      </w:r>
      <w:r w:rsidRPr="000C1370">
        <w:rPr>
          <w:rStyle w:val="Heading5Char"/>
          <w:b w:val="0"/>
          <w:szCs w:val="24"/>
        </w:rPr>
        <w:t xml:space="preserve"> reconsider the need for </w:t>
      </w:r>
      <w:r w:rsidR="000C1370">
        <w:rPr>
          <w:rStyle w:val="Heading5Char"/>
          <w:b w:val="0"/>
          <w:szCs w:val="24"/>
        </w:rPr>
        <w:t xml:space="preserve">an interstate freight assessment. </w:t>
      </w:r>
    </w:p>
    <w:p w:rsidR="00681E72" w:rsidRPr="00681E72" w:rsidRDefault="00FE1EA2" w:rsidP="007719F6">
      <w:pPr>
        <w:pStyle w:val="Heading4"/>
        <w:rPr>
          <w:rStyle w:val="Heading5Char"/>
          <w:b/>
        </w:rPr>
      </w:pPr>
      <w:bookmarkStart w:id="41" w:name="_Toc354414569"/>
      <w:bookmarkStart w:id="42" w:name="_Toc354415059"/>
      <w:bookmarkStart w:id="43" w:name="_Toc354495580"/>
      <w:r w:rsidRPr="00681E72">
        <w:rPr>
          <w:rStyle w:val="Heading5Char"/>
          <w:b/>
        </w:rPr>
        <w:t>Standard geography</w:t>
      </w:r>
      <w:bookmarkEnd w:id="41"/>
      <w:bookmarkEnd w:id="42"/>
      <w:bookmarkEnd w:id="43"/>
    </w:p>
    <w:p w:rsidR="00FE1EA2" w:rsidRDefault="00FE1EA2" w:rsidP="00FE1EA2">
      <w:pPr>
        <w:pStyle w:val="CGCNumberedPara"/>
        <w:numPr>
          <w:ilvl w:val="1"/>
          <w:numId w:val="3"/>
        </w:numPr>
      </w:pPr>
      <w:r>
        <w:t>ARIA has now been adopted as the standard ABS classification of remoteness. A range of data providers, including the ABS and AIHW, code their data to ARIA. For us to follow this standard could mean that data could be taken directly from administrative systems that use the standard geography without the need for recoding.  This is likely to reduce the potential for error, as well as make our assessments simpler. Some data providers are unable or unwilling to code data from fine geographical areas to non-standard classifications such as SARIA.</w:t>
      </w:r>
    </w:p>
    <w:p w:rsidR="00681E72" w:rsidRPr="00681E72" w:rsidRDefault="00FE1EA2" w:rsidP="00681E72">
      <w:pPr>
        <w:pStyle w:val="Heading4"/>
      </w:pPr>
      <w:bookmarkStart w:id="44" w:name="_Toc354414570"/>
      <w:bookmarkStart w:id="45" w:name="_Toc354415060"/>
      <w:bookmarkStart w:id="46" w:name="_Toc354495581"/>
      <w:r w:rsidRPr="00681E72">
        <w:rPr>
          <w:rStyle w:val="Heading5Char"/>
          <w:b/>
        </w:rPr>
        <w:t>Impact</w:t>
      </w:r>
      <w:bookmarkEnd w:id="44"/>
      <w:bookmarkEnd w:id="45"/>
      <w:bookmarkEnd w:id="46"/>
    </w:p>
    <w:p w:rsidR="00FE1EA2" w:rsidRDefault="00FE1EA2" w:rsidP="00FE1EA2">
      <w:pPr>
        <w:pStyle w:val="CGCNumberedPara"/>
        <w:numPr>
          <w:ilvl w:val="1"/>
          <w:numId w:val="3"/>
        </w:numPr>
      </w:pPr>
      <w:r w:rsidRPr="00485BFF">
        <w:t xml:space="preserve">The most significant changes come from the change in treatment of Hobart and Darwin </w:t>
      </w:r>
      <w:r>
        <w:t xml:space="preserve">from Capital cities to smaller centres. This is expected to increase the GST requirements of Tasmania and the Northern Territory. The change in treatment of Newcastle, the Central Coast and Wollongong from non-capital cities over 48 000 to cities of over 250 000 has a significant impact in New South Wales. </w:t>
      </w:r>
      <w:r>
        <w:fldChar w:fldCharType="begin"/>
      </w:r>
      <w:r>
        <w:instrText xml:space="preserve"> REF _Ref352057204 \h </w:instrText>
      </w:r>
      <w:r>
        <w:fldChar w:fldCharType="separate"/>
      </w:r>
      <w:r w:rsidR="005255E7">
        <w:t xml:space="preserve">Figure </w:t>
      </w:r>
      <w:r w:rsidR="005255E7">
        <w:rPr>
          <w:noProof/>
        </w:rPr>
        <w:t>2</w:t>
      </w:r>
      <w:r>
        <w:fldChar w:fldCharType="end"/>
      </w:r>
      <w:r>
        <w:t xml:space="preserve"> shows the change in profile for these States. There are smaller impacts in other States. </w:t>
      </w:r>
    </w:p>
    <w:p w:rsidR="00FE1EA2" w:rsidRDefault="00FE1EA2" w:rsidP="005255E7">
      <w:pPr>
        <w:pStyle w:val="CGCNumberedPara"/>
      </w:pPr>
      <w:r>
        <w:t>The magnitude of this change is very difficult to determine without new use data on service use and population characteristics on an ARIA basis. Staff consider the impact could be relatively large in per capita terms for Tasmania and the Northern Territory, although even the direction of the change is difficult to predict</w:t>
      </w:r>
      <w:r w:rsidR="0097544E">
        <w:t xml:space="preserve">. </w:t>
      </w:r>
      <w:r w:rsidR="00122041">
        <w:t xml:space="preserve">The direction, as well as the magnitude to the impact is difficult to predict primarily because </w:t>
      </w:r>
      <w:r w:rsidR="0097544E">
        <w:t xml:space="preserve">adding Darwin to the moderately accessible areas and adding Hobart to accessible areas </w:t>
      </w:r>
      <w:r w:rsidR="00122041">
        <w:t>could</w:t>
      </w:r>
      <w:r w:rsidR="0097544E">
        <w:t xml:space="preserve"> significantly change the average spend within those areas.  </w:t>
      </w:r>
      <w:r w:rsidR="00EB33E8">
        <w:t>While we are unable to measure the impact without replicating all assessments using ARIA instead of SARIA, we consider that t</w:t>
      </w:r>
      <w:r>
        <w:t xml:space="preserve">he change will probably not be very large in terms of the overall distribution. </w:t>
      </w:r>
    </w:p>
    <w:p w:rsidR="00FE1EA2" w:rsidRDefault="00FE1EA2" w:rsidP="00FE1EA2">
      <w:pPr>
        <w:pStyle w:val="Caption"/>
      </w:pPr>
      <w:bookmarkStart w:id="47" w:name="_Ref352057204"/>
      <w:r>
        <w:lastRenderedPageBreak/>
        <w:t xml:space="preserve">Figure </w:t>
      </w:r>
      <w:r w:rsidR="002C4517">
        <w:fldChar w:fldCharType="begin"/>
      </w:r>
      <w:r w:rsidR="002C4517">
        <w:instrText xml:space="preserve"> SEQ Figure \* ARABIC </w:instrText>
      </w:r>
      <w:r w:rsidR="002C4517">
        <w:fldChar w:fldCharType="separate"/>
      </w:r>
      <w:r w:rsidR="005255E7">
        <w:rPr>
          <w:noProof/>
        </w:rPr>
        <w:t>2</w:t>
      </w:r>
      <w:r w:rsidR="002C4517">
        <w:rPr>
          <w:noProof/>
        </w:rPr>
        <w:fldChar w:fldCharType="end"/>
      </w:r>
      <w:bookmarkEnd w:id="47"/>
      <w:r>
        <w:tab/>
      </w:r>
      <w:r w:rsidR="000C1370">
        <w:t>Change in p</w:t>
      </w:r>
      <w:r>
        <w:t xml:space="preserve">opulation distribution, </w:t>
      </w:r>
      <w:r w:rsidR="000C1370">
        <w:t>due to change from SARIA to ARIA</w:t>
      </w:r>
    </w:p>
    <w:tbl>
      <w:tblPr>
        <w:tblW w:w="8960" w:type="dxa"/>
        <w:tblLayout w:type="fixed"/>
        <w:tblCellMar>
          <w:left w:w="0" w:type="dxa"/>
          <w:right w:w="0" w:type="dxa"/>
        </w:tblCellMar>
        <w:tblLook w:val="04A0" w:firstRow="1" w:lastRow="0" w:firstColumn="1" w:lastColumn="0" w:noHBand="0" w:noVBand="1"/>
      </w:tblPr>
      <w:tblGrid>
        <w:gridCol w:w="2300"/>
        <w:gridCol w:w="800"/>
        <w:gridCol w:w="680"/>
        <w:gridCol w:w="700"/>
        <w:gridCol w:w="680"/>
        <w:gridCol w:w="680"/>
        <w:gridCol w:w="760"/>
        <w:gridCol w:w="760"/>
        <w:gridCol w:w="760"/>
        <w:gridCol w:w="840"/>
      </w:tblGrid>
      <w:tr w:rsidR="007719F6" w:rsidRPr="007719F6" w:rsidTr="005255E7">
        <w:trPr>
          <w:trHeight w:val="315"/>
        </w:trPr>
        <w:tc>
          <w:tcPr>
            <w:tcW w:w="230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bookmarkStart w:id="48" w:name="_Toc354414571"/>
            <w:r w:rsidRPr="007719F6">
              <w:rPr>
                <w:rFonts w:ascii="Calibri" w:eastAsia="Times New Roman" w:hAnsi="Calibri" w:cs="Calibri"/>
                <w:color w:val="000000"/>
                <w:sz w:val="20"/>
                <w:szCs w:val="20"/>
                <w:lang w:eastAsia="en-AU"/>
              </w:rPr>
              <w:t> </w:t>
            </w:r>
          </w:p>
        </w:tc>
        <w:tc>
          <w:tcPr>
            <w:tcW w:w="80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NSW</w:t>
            </w:r>
          </w:p>
        </w:tc>
        <w:tc>
          <w:tcPr>
            <w:tcW w:w="68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Qld</w:t>
            </w:r>
          </w:p>
        </w:tc>
        <w:tc>
          <w:tcPr>
            <w:tcW w:w="68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WA</w:t>
            </w:r>
          </w:p>
        </w:tc>
        <w:tc>
          <w:tcPr>
            <w:tcW w:w="68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Tas</w:t>
            </w:r>
          </w:p>
        </w:tc>
        <w:tc>
          <w:tcPr>
            <w:tcW w:w="76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NT</w:t>
            </w:r>
          </w:p>
        </w:tc>
        <w:tc>
          <w:tcPr>
            <w:tcW w:w="840" w:type="dxa"/>
            <w:tcBorders>
              <w:top w:val="single" w:sz="4" w:space="0" w:color="auto"/>
              <w:left w:val="nil"/>
              <w:bottom w:val="single" w:sz="4" w:space="0" w:color="auto"/>
              <w:right w:val="nil"/>
            </w:tcBorders>
            <w:shd w:val="clear" w:color="auto" w:fill="auto"/>
            <w:noWrap/>
            <w:vAlign w:val="center"/>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Total</w:t>
            </w:r>
          </w:p>
        </w:tc>
      </w:tr>
      <w:tr w:rsidR="007719F6" w:rsidRPr="007719F6" w:rsidTr="005255E7">
        <w:trPr>
          <w:trHeight w:val="259"/>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SARIA</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Highly 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65.6</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75.5</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60.7</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75.3</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73.2</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34.0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99.7</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46.8</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68.3</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23.0</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20.1</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21.6</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10.5</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13.7</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58.5</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0.1</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7.7</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20.4</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Moderately 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10.2</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4.2</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14.2</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7.3</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10.5</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6.9</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0.2</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6.8</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9.0</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Remote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1.0</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0.1</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2.1</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1.8</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1.8</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17.8</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1.3</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Very remote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0.2</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1.4</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5.2</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0.7</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0.5</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20.9</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1.1</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ARIA</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Highly 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72.9</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75.4</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60.6</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71.5</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73.0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99.9</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68.9</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20.1</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19.8</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21.3</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12.2</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12.0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64.5</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0.1</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19.4</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Moderately 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6.4</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4.7</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14.7</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8.9</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11.2</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33.4</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55.0</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9.3</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Remote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0.5</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0.1</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2.1</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4.4</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2.9</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1.5</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23.0</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1.5</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Very remote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0.1</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1.3</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3.0</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0.9</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0.5</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22.0</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0.9</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Difference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Highly 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7.4</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-0.1</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-0.2</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-3.7</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-0.2</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-34.0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0.2</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-46.8</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0.7</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-3.0</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-0.3</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-0.3</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1.7</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-1.7</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6.0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-7.7</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-1.0</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Moderately accessible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-3.8</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0.5</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0.5</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1.6</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0.7</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26.5</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-0.2</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48.2</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0.3</w:t>
            </w:r>
          </w:p>
        </w:tc>
      </w:tr>
      <w:tr w:rsidR="007719F6" w:rsidRPr="007719F6" w:rsidTr="005255E7">
        <w:trPr>
          <w:trHeight w:val="315"/>
        </w:trPr>
        <w:tc>
          <w:tcPr>
            <w:tcW w:w="23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Remote</w:t>
            </w:r>
          </w:p>
        </w:tc>
        <w:tc>
          <w:tcPr>
            <w:tcW w:w="8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-0.5</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0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2.6</w:t>
            </w:r>
          </w:p>
        </w:tc>
        <w:tc>
          <w:tcPr>
            <w:tcW w:w="68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1.1</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1.5</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5.2</w:t>
            </w:r>
          </w:p>
        </w:tc>
        <w:tc>
          <w:tcPr>
            <w:tcW w:w="840" w:type="dxa"/>
            <w:tcBorders>
              <w:top w:val="nil"/>
              <w:left w:val="nil"/>
              <w:bottom w:val="nil"/>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0.3</w:t>
            </w:r>
          </w:p>
        </w:tc>
      </w:tr>
      <w:tr w:rsidR="007719F6" w:rsidRPr="007719F6" w:rsidTr="005255E7">
        <w:trPr>
          <w:trHeight w:val="315"/>
        </w:trPr>
        <w:tc>
          <w:tcPr>
            <w:tcW w:w="230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ind w:firstLineChars="200" w:firstLine="400"/>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Very remote</w:t>
            </w:r>
          </w:p>
        </w:tc>
        <w:tc>
          <w:tcPr>
            <w:tcW w:w="80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-0.2</w:t>
            </w:r>
          </w:p>
        </w:tc>
        <w:tc>
          <w:tcPr>
            <w:tcW w:w="68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0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-0.1</w:t>
            </w:r>
          </w:p>
        </w:tc>
        <w:tc>
          <w:tcPr>
            <w:tcW w:w="68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-2.2</w:t>
            </w:r>
          </w:p>
        </w:tc>
        <w:tc>
          <w:tcPr>
            <w:tcW w:w="68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0.2</w:t>
            </w:r>
          </w:p>
        </w:tc>
        <w:tc>
          <w:tcPr>
            <w:tcW w:w="76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0.0</w:t>
            </w:r>
          </w:p>
        </w:tc>
        <w:tc>
          <w:tcPr>
            <w:tcW w:w="76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1.1</w:t>
            </w:r>
          </w:p>
        </w:tc>
        <w:tc>
          <w:tcPr>
            <w:tcW w:w="840" w:type="dxa"/>
            <w:tcBorders>
              <w:top w:val="nil"/>
              <w:left w:val="nil"/>
              <w:bottom w:val="single" w:sz="4" w:space="0" w:color="auto"/>
              <w:right w:val="nil"/>
            </w:tcBorders>
            <w:shd w:val="clear" w:color="auto" w:fill="auto"/>
            <w:noWrap/>
            <w:hideMark/>
          </w:tcPr>
          <w:p w:rsidR="007719F6" w:rsidRPr="007719F6" w:rsidRDefault="007719F6" w:rsidP="005255E7">
            <w:pPr>
              <w:keepNext/>
              <w:keepLines/>
              <w:tabs>
                <w:tab w:val="clear" w:pos="567"/>
              </w:tabs>
              <w:spacing w:after="0" w:line="240" w:lineRule="auto"/>
              <w:jc w:val="right"/>
              <w:rPr>
                <w:rFonts w:ascii="Calibri" w:eastAsia="Times New Roman" w:hAnsi="Calibri" w:cs="Calibri"/>
                <w:color w:val="000000"/>
                <w:sz w:val="20"/>
                <w:szCs w:val="20"/>
                <w:lang w:eastAsia="en-AU"/>
              </w:rPr>
            </w:pPr>
            <w:r w:rsidRPr="007719F6">
              <w:rPr>
                <w:rFonts w:ascii="Calibri" w:eastAsia="Times New Roman" w:hAnsi="Calibri" w:cs="Calibri"/>
                <w:color w:val="000000"/>
                <w:sz w:val="20"/>
                <w:szCs w:val="20"/>
                <w:lang w:eastAsia="en-AU"/>
              </w:rPr>
              <w:t>-0.3</w:t>
            </w:r>
          </w:p>
        </w:tc>
      </w:tr>
    </w:tbl>
    <w:p w:rsidR="007719F6" w:rsidRDefault="007719F6">
      <w:pPr>
        <w:tabs>
          <w:tab w:val="clear" w:pos="567"/>
        </w:tabs>
        <w:spacing w:after="200" w:line="276" w:lineRule="auto"/>
        <w:rPr>
          <w:rStyle w:val="Heading5Char"/>
          <w:caps/>
        </w:rPr>
      </w:pPr>
      <w:r>
        <w:rPr>
          <w:rStyle w:val="Heading5Char"/>
          <w:b w:val="0"/>
        </w:rPr>
        <w:br w:type="page"/>
      </w:r>
    </w:p>
    <w:p w:rsidR="005255E7" w:rsidRDefault="005255E7" w:rsidP="007719F6">
      <w:pPr>
        <w:pStyle w:val="Heading3"/>
        <w:rPr>
          <w:rStyle w:val="Heading5Char"/>
          <w:b/>
        </w:rPr>
      </w:pPr>
      <w:bookmarkStart w:id="49" w:name="_Toc354495582"/>
      <w:bookmarkStart w:id="50" w:name="_Toc354415061"/>
      <w:r>
        <w:rPr>
          <w:rStyle w:val="Heading5Char"/>
          <w:b/>
        </w:rPr>
        <w:lastRenderedPageBreak/>
        <w:t>Conclusions</w:t>
      </w:r>
      <w:bookmarkEnd w:id="49"/>
    </w:p>
    <w:p w:rsidR="007719F6" w:rsidRDefault="007719F6" w:rsidP="005255E7">
      <w:pPr>
        <w:pStyle w:val="Heading4"/>
        <w:rPr>
          <w:rStyle w:val="Heading5Char"/>
          <w:b/>
        </w:rPr>
      </w:pPr>
      <w:bookmarkStart w:id="51" w:name="_Toc354495583"/>
      <w:r>
        <w:rPr>
          <w:rStyle w:val="Heading5Char"/>
          <w:b/>
        </w:rPr>
        <w:t>Options</w:t>
      </w:r>
      <w:bookmarkEnd w:id="48"/>
      <w:bookmarkEnd w:id="50"/>
      <w:bookmarkEnd w:id="51"/>
    </w:p>
    <w:p w:rsidR="007719F6" w:rsidRDefault="007719F6" w:rsidP="007719F6">
      <w:pPr>
        <w:pStyle w:val="CGCNumberedPara"/>
        <w:numPr>
          <w:ilvl w:val="1"/>
          <w:numId w:val="3"/>
        </w:numPr>
      </w:pPr>
      <w:r>
        <w:t>We have a range of options, and the timing of the next review could have an impact on this decision:</w:t>
      </w:r>
    </w:p>
    <w:p w:rsidR="007719F6" w:rsidRDefault="003A781B" w:rsidP="007719F6">
      <w:pPr>
        <w:pStyle w:val="CGCBulletlist"/>
        <w:numPr>
          <w:ilvl w:val="0"/>
          <w:numId w:val="1"/>
        </w:numPr>
        <w:tabs>
          <w:tab w:val="clear" w:pos="927"/>
        </w:tabs>
        <w:ind w:left="1134" w:hanging="567"/>
      </w:pPr>
      <w:r>
        <w:t>u</w:t>
      </w:r>
      <w:r w:rsidR="007719F6">
        <w:t>se the 2006 based SARIA in the next review</w:t>
      </w:r>
    </w:p>
    <w:p w:rsidR="007719F6" w:rsidRDefault="003A781B" w:rsidP="007719F6">
      <w:pPr>
        <w:pStyle w:val="CGCBulletlist"/>
        <w:numPr>
          <w:ilvl w:val="0"/>
          <w:numId w:val="1"/>
        </w:numPr>
        <w:tabs>
          <w:tab w:val="clear" w:pos="927"/>
        </w:tabs>
        <w:ind w:left="1134" w:hanging="567"/>
      </w:pPr>
      <w:r>
        <w:t>u</w:t>
      </w:r>
      <w:r w:rsidR="007719F6">
        <w:t>se the 2011 based ARIA (ABS remoteness areas) in the next review</w:t>
      </w:r>
    </w:p>
    <w:p w:rsidR="007719F6" w:rsidRDefault="003A781B" w:rsidP="007719F6">
      <w:pPr>
        <w:pStyle w:val="CGCBulletlist"/>
        <w:numPr>
          <w:ilvl w:val="0"/>
          <w:numId w:val="1"/>
        </w:numPr>
        <w:tabs>
          <w:tab w:val="clear" w:pos="927"/>
        </w:tabs>
        <w:ind w:left="1134" w:hanging="567"/>
      </w:pPr>
      <w:r>
        <w:t>c</w:t>
      </w:r>
      <w:r w:rsidR="007719F6">
        <w:t>ommission a 2011 version of SARIA</w:t>
      </w:r>
    </w:p>
    <w:p w:rsidR="007719F6" w:rsidRDefault="003A781B" w:rsidP="007719F6">
      <w:pPr>
        <w:pStyle w:val="CGCBulletlist"/>
        <w:numPr>
          <w:ilvl w:val="1"/>
          <w:numId w:val="1"/>
        </w:numPr>
      </w:pPr>
      <w:r>
        <w:t>m</w:t>
      </w:r>
      <w:r w:rsidR="007719F6">
        <w:t>aintain the 2006 criteria</w:t>
      </w:r>
    </w:p>
    <w:p w:rsidR="007719F6" w:rsidRDefault="003A781B" w:rsidP="007719F6">
      <w:pPr>
        <w:pStyle w:val="CGCBulletlist"/>
        <w:numPr>
          <w:ilvl w:val="1"/>
          <w:numId w:val="1"/>
        </w:numPr>
      </w:pPr>
      <w:r>
        <w:t>a</w:t>
      </w:r>
      <w:r w:rsidR="007719F6">
        <w:t xml:space="preserve">dopt some of the following assumptions used in ARIA. </w:t>
      </w:r>
    </w:p>
    <w:p w:rsidR="007719F6" w:rsidRDefault="007719F6" w:rsidP="007719F6">
      <w:pPr>
        <w:pStyle w:val="CGCBulletlist"/>
        <w:numPr>
          <w:ilvl w:val="2"/>
          <w:numId w:val="1"/>
        </w:numPr>
      </w:pPr>
      <w:r>
        <w:t>borders are permeable</w:t>
      </w:r>
    </w:p>
    <w:p w:rsidR="007719F6" w:rsidRDefault="003A781B" w:rsidP="007719F6">
      <w:pPr>
        <w:pStyle w:val="CGCBulletlist"/>
        <w:numPr>
          <w:ilvl w:val="2"/>
          <w:numId w:val="1"/>
        </w:numPr>
      </w:pPr>
      <w:r>
        <w:t>c</w:t>
      </w:r>
      <w:r w:rsidR="007719F6">
        <w:t>onsider Hobart and Darwin to be towns of 48 000 to 250 000 rather than capital cities, and consider the Gold Coast and similar cities to be centres of over 250 000, rather</w:t>
      </w:r>
      <w:r w:rsidR="000C4123">
        <w:t xml:space="preserve"> than non-capitals over 48 000</w:t>
      </w:r>
    </w:p>
    <w:p w:rsidR="007719F6" w:rsidRDefault="003A781B" w:rsidP="007719F6">
      <w:pPr>
        <w:pStyle w:val="CGCBulletlist"/>
        <w:numPr>
          <w:ilvl w:val="2"/>
          <w:numId w:val="1"/>
        </w:numPr>
      </w:pPr>
      <w:r>
        <w:t>t</w:t>
      </w:r>
      <w:r w:rsidR="007719F6">
        <w:t>runcate the impact of distance at three times the national average</w:t>
      </w:r>
    </w:p>
    <w:p w:rsidR="007719F6" w:rsidRPr="00A6426F" w:rsidRDefault="003A781B" w:rsidP="007719F6">
      <w:pPr>
        <w:pStyle w:val="CGCBulletlist"/>
        <w:numPr>
          <w:ilvl w:val="2"/>
          <w:numId w:val="1"/>
        </w:numPr>
      </w:pPr>
      <w:r>
        <w:t>u</w:t>
      </w:r>
      <w:r w:rsidR="007719F6">
        <w:t>se enumerated census counts rather than usual resident census counts.</w:t>
      </w:r>
    </w:p>
    <w:p w:rsidR="007719F6" w:rsidRPr="00681E72" w:rsidRDefault="007719F6" w:rsidP="007719F6">
      <w:pPr>
        <w:pStyle w:val="Heading4"/>
        <w:rPr>
          <w:rStyle w:val="Heading5Char"/>
          <w:b/>
        </w:rPr>
      </w:pPr>
      <w:bookmarkStart w:id="52" w:name="_Toc354414572"/>
      <w:bookmarkStart w:id="53" w:name="_Toc354415062"/>
      <w:bookmarkStart w:id="54" w:name="_Toc354495584"/>
      <w:r w:rsidRPr="00681E72">
        <w:rPr>
          <w:rStyle w:val="Heading5Char"/>
          <w:b/>
        </w:rPr>
        <w:t>Con</w:t>
      </w:r>
      <w:r>
        <w:rPr>
          <w:rStyle w:val="Heading5Char"/>
          <w:b/>
        </w:rPr>
        <w:t>sultation</w:t>
      </w:r>
      <w:bookmarkEnd w:id="52"/>
      <w:bookmarkEnd w:id="53"/>
      <w:bookmarkEnd w:id="54"/>
      <w:r>
        <w:rPr>
          <w:rStyle w:val="Heading5Char"/>
          <w:b/>
        </w:rPr>
        <w:t xml:space="preserve"> </w:t>
      </w:r>
    </w:p>
    <w:p w:rsidR="007719F6" w:rsidRDefault="007719F6" w:rsidP="007719F6">
      <w:pPr>
        <w:pStyle w:val="CGCNumberedPara"/>
        <w:numPr>
          <w:ilvl w:val="1"/>
          <w:numId w:val="3"/>
        </w:numPr>
      </w:pPr>
      <w:r>
        <w:t xml:space="preserve">State views on these issues are requested urgently. We would like State comments by the end of May. We will seek a commission decision on the </w:t>
      </w:r>
      <w:r w:rsidR="000C4123">
        <w:t>20</w:t>
      </w:r>
      <w:r w:rsidRPr="00122041">
        <w:rPr>
          <w:vertAlign w:val="superscript"/>
        </w:rPr>
        <w:t>th</w:t>
      </w:r>
      <w:r>
        <w:t xml:space="preserve"> </w:t>
      </w:r>
      <w:r w:rsidR="000C4123">
        <w:t>June</w:t>
      </w:r>
      <w:r>
        <w:t xml:space="preserve">, and then either begin data gathering immediately, or contract GISCA to produce SARIA. In 2008, GISCA took 4½ months to produce SARIA. On that timeline, this would take us through to around </w:t>
      </w:r>
      <w:r w:rsidR="000C4123">
        <w:t>November</w:t>
      </w:r>
      <w:r>
        <w:t xml:space="preserve">. </w:t>
      </w:r>
    </w:p>
    <w:p w:rsidR="007719F6" w:rsidRDefault="007719F6" w:rsidP="007719F6">
      <w:pPr>
        <w:pStyle w:val="Heading4"/>
        <w:rPr>
          <w:rStyle w:val="Heading5Char"/>
          <w:b/>
        </w:rPr>
      </w:pPr>
    </w:p>
    <w:sectPr w:rsidR="007719F6" w:rsidSect="00FE1EA2">
      <w:footerReference w:type="default" r:id="rId22"/>
      <w:footerReference w:type="first" r:id="rId23"/>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23" w:rsidRDefault="000C4123">
      <w:r>
        <w:separator/>
      </w:r>
    </w:p>
  </w:endnote>
  <w:endnote w:type="continuationSeparator" w:id="0">
    <w:p w:rsidR="000C4123" w:rsidRDefault="000C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23" w:rsidRPr="00875C0F" w:rsidRDefault="000C4123" w:rsidP="00EE371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23" w:rsidRPr="00875C0F" w:rsidRDefault="000C4123" w:rsidP="00EE3714">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rsidR="000C4123" w:rsidRPr="00875C0F" w:rsidRDefault="002C4517" w:rsidP="00EE3714">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02758"/>
      <w:docPartObj>
        <w:docPartGallery w:val="Page Numbers (Bottom of Page)"/>
        <w:docPartUnique/>
      </w:docPartObj>
    </w:sdtPr>
    <w:sdtEndPr/>
    <w:sdtContent>
      <w:p w:rsidR="000C4123" w:rsidRPr="00875C0F" w:rsidRDefault="002C4517" w:rsidP="00EE3714">
        <w:pPr>
          <w:pStyle w:val="Footer"/>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23" w:rsidRPr="0011178C" w:rsidRDefault="000C4123" w:rsidP="00F25ABA">
    <w:pPr>
      <w:pStyle w:val="Footer"/>
      <w:tabs>
        <w:tab w:val="clear" w:pos="567"/>
        <w:tab w:val="clear" w:pos="4153"/>
        <w:tab w:val="clear" w:pos="8306"/>
        <w:tab w:val="right" w:pos="8931"/>
      </w:tabs>
      <w:jc w:val="right"/>
    </w:pPr>
    <w:r>
      <w:tab/>
    </w:r>
    <w:r>
      <w:fldChar w:fldCharType="begin"/>
    </w:r>
    <w:r>
      <w:instrText xml:space="preserve"> PAGE  \* Arabic  \* MERGEFORMAT </w:instrText>
    </w:r>
    <w:r>
      <w:fldChar w:fldCharType="separate"/>
    </w:r>
    <w:r w:rsidR="002C4517">
      <w:rPr>
        <w:noProof/>
      </w:rPr>
      <w:t>10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88222766"/>
      <w:docPartObj>
        <w:docPartGallery w:val="Page Numbers (Bottom of Page)"/>
        <w:docPartUnique/>
      </w:docPartObj>
    </w:sdtPr>
    <w:sdtEndPr>
      <w:rPr>
        <w:b w:val="0"/>
      </w:rPr>
    </w:sdtEndPr>
    <w:sdtContent>
      <w:p w:rsidR="000C4123" w:rsidRPr="00E674AF" w:rsidRDefault="000C4123" w:rsidP="00ED14B5">
        <w:pPr>
          <w:pStyle w:val="Footer"/>
          <w:tabs>
            <w:tab w:val="clear" w:pos="567"/>
            <w:tab w:val="clear" w:pos="4153"/>
            <w:tab w:val="clear" w:pos="8306"/>
            <w:tab w:val="right" w:pos="8931"/>
          </w:tabs>
          <w:jc w:val="right"/>
        </w:pPr>
        <w:r>
          <w:fldChar w:fldCharType="begin"/>
        </w:r>
        <w:r>
          <w:instrText xml:space="preserve"> PAGE  \* Arabic  \* MERGEFORMAT </w:instrText>
        </w:r>
        <w:r>
          <w:fldChar w:fldCharType="separate"/>
        </w:r>
        <w:r w:rsidR="002C451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23" w:rsidRDefault="000C4123">
      <w:r>
        <w:separator/>
      </w:r>
    </w:p>
  </w:footnote>
  <w:footnote w:type="continuationSeparator" w:id="0">
    <w:p w:rsidR="000C4123" w:rsidRDefault="000C4123">
      <w:r>
        <w:continuationSeparator/>
      </w:r>
    </w:p>
  </w:footnote>
  <w:footnote w:id="1">
    <w:p w:rsidR="000C4123" w:rsidRDefault="000C4123">
      <w:pPr>
        <w:pStyle w:val="FootnoteText"/>
      </w:pPr>
      <w:r>
        <w:rPr>
          <w:rStyle w:val="FootnoteReference"/>
        </w:rPr>
        <w:footnoteRef/>
      </w:r>
      <w:r>
        <w:t xml:space="preserve"> </w:t>
      </w:r>
      <w:r>
        <w:tab/>
      </w:r>
      <w:r w:rsidRPr="001F235D">
        <w:t>National Centre for Social Applications of Geographical Information systems (GISCA), University of Adelaide</w:t>
      </w:r>
      <w:r>
        <w:t>.</w:t>
      </w:r>
    </w:p>
  </w:footnote>
  <w:footnote w:id="2">
    <w:p w:rsidR="000C4123" w:rsidRDefault="000C4123" w:rsidP="00FE1EA2">
      <w:pPr>
        <w:pStyle w:val="FootnoteText"/>
      </w:pPr>
      <w:r>
        <w:rPr>
          <w:rStyle w:val="FootnoteReference"/>
        </w:rPr>
        <w:footnoteRef/>
      </w:r>
      <w:r>
        <w:t xml:space="preserve"> </w:t>
      </w:r>
      <w:r>
        <w:tab/>
        <w:t>It has been adopted as the ABS standard classification of remoteness</w:t>
      </w:r>
      <w:r w:rsidRPr="001F235D">
        <w:t>.</w:t>
      </w:r>
    </w:p>
  </w:footnote>
  <w:footnote w:id="3">
    <w:p w:rsidR="000C4123" w:rsidRDefault="000C4123" w:rsidP="00FE1EA2">
      <w:pPr>
        <w:pStyle w:val="FootnoteText"/>
      </w:pPr>
      <w:r>
        <w:rPr>
          <w:rStyle w:val="FootnoteReference"/>
        </w:rPr>
        <w:footnoteRef/>
      </w:r>
      <w:r>
        <w:t xml:space="preserve"> </w:t>
      </w:r>
      <w:r>
        <w:tab/>
        <w:t>In the Admitted patients assessment, this assumption is relaxed for Darwin as explained in the Admitted patients chapter of volume 2 of the 2010 review report.</w:t>
      </w:r>
    </w:p>
  </w:footnote>
  <w:footnote w:id="4">
    <w:p w:rsidR="000C4123" w:rsidRDefault="000C4123" w:rsidP="00FE1EA2">
      <w:pPr>
        <w:pStyle w:val="FootnoteText"/>
      </w:pPr>
      <w:r>
        <w:rPr>
          <w:rStyle w:val="FootnoteReference"/>
        </w:rPr>
        <w:footnoteRef/>
      </w:r>
      <w:r>
        <w:t xml:space="preserve"> </w:t>
      </w:r>
      <w:r>
        <w:tab/>
        <w:t>In some assessments, we recognise that services provided by the ACT to residents of New South Wales do affect their fiscal capacities.  See the Cross</w:t>
      </w:r>
      <w:r>
        <w:noBreakHyphen/>
        <w:t>border chapter</w:t>
      </w:r>
      <w:r w:rsidRPr="006D7BC4">
        <w:t xml:space="preserve"> </w:t>
      </w:r>
      <w:r>
        <w:t>of volume 2 of the 2010 review report.</w:t>
      </w:r>
    </w:p>
  </w:footnote>
  <w:footnote w:id="5">
    <w:p w:rsidR="000C4123" w:rsidRDefault="000C4123" w:rsidP="00FE1EA2">
      <w:pPr>
        <w:pStyle w:val="FootnoteText"/>
      </w:pPr>
      <w:r>
        <w:rPr>
          <w:rStyle w:val="FootnoteReference"/>
        </w:rPr>
        <w:footnoteRef/>
      </w:r>
      <w:r>
        <w:t xml:space="preserve"> </w:t>
      </w:r>
      <w:r>
        <w:tab/>
        <w:t xml:space="preserve">Port Adelaide has a similar socio-economic status and bulk billing rate to Hobart. The two Canberra electorates also have very low bulk billing rates, although their socio-economic status is well above that of Hobart or Darwin.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23" w:rsidRDefault="000C4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23" w:rsidRDefault="000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A2"/>
    <w:rsid w:val="00022EA9"/>
    <w:rsid w:val="00024745"/>
    <w:rsid w:val="00032F41"/>
    <w:rsid w:val="0004123E"/>
    <w:rsid w:val="00041748"/>
    <w:rsid w:val="00041E84"/>
    <w:rsid w:val="000424EA"/>
    <w:rsid w:val="00056373"/>
    <w:rsid w:val="000624BB"/>
    <w:rsid w:val="000648E8"/>
    <w:rsid w:val="00093796"/>
    <w:rsid w:val="000A3F2A"/>
    <w:rsid w:val="000A52A1"/>
    <w:rsid w:val="000B64E3"/>
    <w:rsid w:val="000C1370"/>
    <w:rsid w:val="000C4123"/>
    <w:rsid w:val="000D1354"/>
    <w:rsid w:val="000E0210"/>
    <w:rsid w:val="000E6AA5"/>
    <w:rsid w:val="000E7F56"/>
    <w:rsid w:val="001039C2"/>
    <w:rsid w:val="0011178C"/>
    <w:rsid w:val="00112CF0"/>
    <w:rsid w:val="001211AB"/>
    <w:rsid w:val="001218B8"/>
    <w:rsid w:val="00122041"/>
    <w:rsid w:val="00124ED1"/>
    <w:rsid w:val="00136497"/>
    <w:rsid w:val="00141BD1"/>
    <w:rsid w:val="00144A0B"/>
    <w:rsid w:val="00147115"/>
    <w:rsid w:val="0016723A"/>
    <w:rsid w:val="00167D3A"/>
    <w:rsid w:val="00171A05"/>
    <w:rsid w:val="00172F3A"/>
    <w:rsid w:val="001730FD"/>
    <w:rsid w:val="00173798"/>
    <w:rsid w:val="00173BE6"/>
    <w:rsid w:val="00173E72"/>
    <w:rsid w:val="001807C0"/>
    <w:rsid w:val="001811DE"/>
    <w:rsid w:val="00187145"/>
    <w:rsid w:val="001A11FF"/>
    <w:rsid w:val="001B0110"/>
    <w:rsid w:val="001B3048"/>
    <w:rsid w:val="001B696E"/>
    <w:rsid w:val="001B6A56"/>
    <w:rsid w:val="001C469B"/>
    <w:rsid w:val="001C6A71"/>
    <w:rsid w:val="001D638B"/>
    <w:rsid w:val="001D6DFA"/>
    <w:rsid w:val="001E6180"/>
    <w:rsid w:val="001E68FC"/>
    <w:rsid w:val="00204026"/>
    <w:rsid w:val="00212948"/>
    <w:rsid w:val="00217839"/>
    <w:rsid w:val="00225A3B"/>
    <w:rsid w:val="00226093"/>
    <w:rsid w:val="0023329C"/>
    <w:rsid w:val="00236DC0"/>
    <w:rsid w:val="002373A2"/>
    <w:rsid w:val="00242517"/>
    <w:rsid w:val="0024260B"/>
    <w:rsid w:val="0024401F"/>
    <w:rsid w:val="0024569B"/>
    <w:rsid w:val="00255B5A"/>
    <w:rsid w:val="002671A2"/>
    <w:rsid w:val="00275B68"/>
    <w:rsid w:val="002845EA"/>
    <w:rsid w:val="00286EBE"/>
    <w:rsid w:val="00295B70"/>
    <w:rsid w:val="002A2A08"/>
    <w:rsid w:val="002A2D93"/>
    <w:rsid w:val="002A4E42"/>
    <w:rsid w:val="002A77C3"/>
    <w:rsid w:val="002B10B0"/>
    <w:rsid w:val="002B169C"/>
    <w:rsid w:val="002B6EFD"/>
    <w:rsid w:val="002B6F33"/>
    <w:rsid w:val="002B79F0"/>
    <w:rsid w:val="002C1D9C"/>
    <w:rsid w:val="002C366F"/>
    <w:rsid w:val="002C4517"/>
    <w:rsid w:val="002C4CA9"/>
    <w:rsid w:val="002D2270"/>
    <w:rsid w:val="002E25A8"/>
    <w:rsid w:val="002F04DE"/>
    <w:rsid w:val="002F1CD3"/>
    <w:rsid w:val="002F7E68"/>
    <w:rsid w:val="00301D81"/>
    <w:rsid w:val="00307DEF"/>
    <w:rsid w:val="00311D33"/>
    <w:rsid w:val="003124CC"/>
    <w:rsid w:val="00313664"/>
    <w:rsid w:val="00314F90"/>
    <w:rsid w:val="003158DE"/>
    <w:rsid w:val="0033102E"/>
    <w:rsid w:val="00331401"/>
    <w:rsid w:val="00335ED1"/>
    <w:rsid w:val="00342A60"/>
    <w:rsid w:val="0034379D"/>
    <w:rsid w:val="0034646D"/>
    <w:rsid w:val="00347BE5"/>
    <w:rsid w:val="003522E0"/>
    <w:rsid w:val="0035267F"/>
    <w:rsid w:val="0035580D"/>
    <w:rsid w:val="003639FB"/>
    <w:rsid w:val="00363BF7"/>
    <w:rsid w:val="00382AE5"/>
    <w:rsid w:val="003929D2"/>
    <w:rsid w:val="003938EB"/>
    <w:rsid w:val="00393FA5"/>
    <w:rsid w:val="00396190"/>
    <w:rsid w:val="003A27BB"/>
    <w:rsid w:val="003A781B"/>
    <w:rsid w:val="003B673D"/>
    <w:rsid w:val="003C2577"/>
    <w:rsid w:val="003D3D91"/>
    <w:rsid w:val="003D477A"/>
    <w:rsid w:val="003E6615"/>
    <w:rsid w:val="003E79F9"/>
    <w:rsid w:val="003F12E9"/>
    <w:rsid w:val="003F59F4"/>
    <w:rsid w:val="00404DCD"/>
    <w:rsid w:val="004077D6"/>
    <w:rsid w:val="004121E7"/>
    <w:rsid w:val="00414E51"/>
    <w:rsid w:val="0042149B"/>
    <w:rsid w:val="00423099"/>
    <w:rsid w:val="00424E79"/>
    <w:rsid w:val="0042661C"/>
    <w:rsid w:val="004274B3"/>
    <w:rsid w:val="00453264"/>
    <w:rsid w:val="00462B54"/>
    <w:rsid w:val="00472461"/>
    <w:rsid w:val="004809B8"/>
    <w:rsid w:val="004821B9"/>
    <w:rsid w:val="00491D88"/>
    <w:rsid w:val="00493098"/>
    <w:rsid w:val="0049605C"/>
    <w:rsid w:val="004965F7"/>
    <w:rsid w:val="004A7048"/>
    <w:rsid w:val="004B0A0A"/>
    <w:rsid w:val="004B1C4B"/>
    <w:rsid w:val="004B60CB"/>
    <w:rsid w:val="004C1CB5"/>
    <w:rsid w:val="004E769A"/>
    <w:rsid w:val="00500ACD"/>
    <w:rsid w:val="00504061"/>
    <w:rsid w:val="00505BAE"/>
    <w:rsid w:val="005071D9"/>
    <w:rsid w:val="00515380"/>
    <w:rsid w:val="005255E7"/>
    <w:rsid w:val="0053353C"/>
    <w:rsid w:val="00537A77"/>
    <w:rsid w:val="00541A14"/>
    <w:rsid w:val="00542847"/>
    <w:rsid w:val="00543F9C"/>
    <w:rsid w:val="00546D39"/>
    <w:rsid w:val="00550E84"/>
    <w:rsid w:val="00551368"/>
    <w:rsid w:val="005577B0"/>
    <w:rsid w:val="00557BC8"/>
    <w:rsid w:val="00562084"/>
    <w:rsid w:val="00563865"/>
    <w:rsid w:val="00570EED"/>
    <w:rsid w:val="005716FC"/>
    <w:rsid w:val="00575DEF"/>
    <w:rsid w:val="00583A33"/>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FE1"/>
    <w:rsid w:val="00626329"/>
    <w:rsid w:val="00635027"/>
    <w:rsid w:val="006556D9"/>
    <w:rsid w:val="00661C46"/>
    <w:rsid w:val="006652D3"/>
    <w:rsid w:val="00667CF3"/>
    <w:rsid w:val="00671B1F"/>
    <w:rsid w:val="00677627"/>
    <w:rsid w:val="00677BD5"/>
    <w:rsid w:val="0068025E"/>
    <w:rsid w:val="00681E72"/>
    <w:rsid w:val="00693C87"/>
    <w:rsid w:val="006A05C7"/>
    <w:rsid w:val="006A607B"/>
    <w:rsid w:val="006A6E27"/>
    <w:rsid w:val="006A72B0"/>
    <w:rsid w:val="006B3E4D"/>
    <w:rsid w:val="006C52B9"/>
    <w:rsid w:val="006D1DFE"/>
    <w:rsid w:val="006D7BC4"/>
    <w:rsid w:val="006E6BC2"/>
    <w:rsid w:val="006E77BB"/>
    <w:rsid w:val="0070150E"/>
    <w:rsid w:val="00705DB8"/>
    <w:rsid w:val="00713225"/>
    <w:rsid w:val="0072512A"/>
    <w:rsid w:val="00731EE6"/>
    <w:rsid w:val="007355A6"/>
    <w:rsid w:val="00735A67"/>
    <w:rsid w:val="00740A71"/>
    <w:rsid w:val="007477C5"/>
    <w:rsid w:val="00747938"/>
    <w:rsid w:val="00765BA8"/>
    <w:rsid w:val="00766007"/>
    <w:rsid w:val="00770A26"/>
    <w:rsid w:val="007719F6"/>
    <w:rsid w:val="007A1364"/>
    <w:rsid w:val="007A24A0"/>
    <w:rsid w:val="007A4AB2"/>
    <w:rsid w:val="007A5E68"/>
    <w:rsid w:val="007B1BF7"/>
    <w:rsid w:val="007C404B"/>
    <w:rsid w:val="007C4BAE"/>
    <w:rsid w:val="007D1D3B"/>
    <w:rsid w:val="007D5960"/>
    <w:rsid w:val="007E114E"/>
    <w:rsid w:val="007E487F"/>
    <w:rsid w:val="007E4B2D"/>
    <w:rsid w:val="007E71E9"/>
    <w:rsid w:val="007F1D06"/>
    <w:rsid w:val="007F4217"/>
    <w:rsid w:val="007F7874"/>
    <w:rsid w:val="008010D7"/>
    <w:rsid w:val="00803443"/>
    <w:rsid w:val="0080680D"/>
    <w:rsid w:val="00812C05"/>
    <w:rsid w:val="008162AB"/>
    <w:rsid w:val="00843E6F"/>
    <w:rsid w:val="008460E8"/>
    <w:rsid w:val="00846E4A"/>
    <w:rsid w:val="00851FB5"/>
    <w:rsid w:val="008647DE"/>
    <w:rsid w:val="00864B95"/>
    <w:rsid w:val="008800D3"/>
    <w:rsid w:val="00886CDD"/>
    <w:rsid w:val="0089214D"/>
    <w:rsid w:val="00893C0D"/>
    <w:rsid w:val="00895E02"/>
    <w:rsid w:val="008A20DA"/>
    <w:rsid w:val="008B5C8F"/>
    <w:rsid w:val="008B5F16"/>
    <w:rsid w:val="008B7722"/>
    <w:rsid w:val="008C0E5C"/>
    <w:rsid w:val="008C7A4D"/>
    <w:rsid w:val="008D348B"/>
    <w:rsid w:val="008D707F"/>
    <w:rsid w:val="008E2BE4"/>
    <w:rsid w:val="008E6B4E"/>
    <w:rsid w:val="008E7970"/>
    <w:rsid w:val="008E7C34"/>
    <w:rsid w:val="008F0C36"/>
    <w:rsid w:val="008F377B"/>
    <w:rsid w:val="00915512"/>
    <w:rsid w:val="009240D8"/>
    <w:rsid w:val="009360D7"/>
    <w:rsid w:val="009362C9"/>
    <w:rsid w:val="009462D2"/>
    <w:rsid w:val="009652D5"/>
    <w:rsid w:val="009677F8"/>
    <w:rsid w:val="00971146"/>
    <w:rsid w:val="00972A9A"/>
    <w:rsid w:val="0097544E"/>
    <w:rsid w:val="00983F68"/>
    <w:rsid w:val="00991675"/>
    <w:rsid w:val="00992008"/>
    <w:rsid w:val="00996409"/>
    <w:rsid w:val="00996D00"/>
    <w:rsid w:val="009A6CF3"/>
    <w:rsid w:val="009D545A"/>
    <w:rsid w:val="009D6D44"/>
    <w:rsid w:val="009E22FA"/>
    <w:rsid w:val="009E4744"/>
    <w:rsid w:val="009E4EC9"/>
    <w:rsid w:val="009E5D5A"/>
    <w:rsid w:val="009F2262"/>
    <w:rsid w:val="009F4ADA"/>
    <w:rsid w:val="009F6A0D"/>
    <w:rsid w:val="00A0050C"/>
    <w:rsid w:val="00A06586"/>
    <w:rsid w:val="00A07991"/>
    <w:rsid w:val="00A10CDE"/>
    <w:rsid w:val="00A1680D"/>
    <w:rsid w:val="00A23AB0"/>
    <w:rsid w:val="00A266C5"/>
    <w:rsid w:val="00A32E4E"/>
    <w:rsid w:val="00A505DE"/>
    <w:rsid w:val="00A5327C"/>
    <w:rsid w:val="00A5721C"/>
    <w:rsid w:val="00A6426F"/>
    <w:rsid w:val="00A67913"/>
    <w:rsid w:val="00A81A94"/>
    <w:rsid w:val="00A9681E"/>
    <w:rsid w:val="00AA007A"/>
    <w:rsid w:val="00AB073E"/>
    <w:rsid w:val="00AB1A13"/>
    <w:rsid w:val="00AB4E9F"/>
    <w:rsid w:val="00AC210F"/>
    <w:rsid w:val="00AC319E"/>
    <w:rsid w:val="00AD6569"/>
    <w:rsid w:val="00AE3A1E"/>
    <w:rsid w:val="00AE5311"/>
    <w:rsid w:val="00AE67A0"/>
    <w:rsid w:val="00AE734F"/>
    <w:rsid w:val="00AF0AC6"/>
    <w:rsid w:val="00AF2656"/>
    <w:rsid w:val="00AF6110"/>
    <w:rsid w:val="00AF6AC6"/>
    <w:rsid w:val="00B00611"/>
    <w:rsid w:val="00B04354"/>
    <w:rsid w:val="00B06F87"/>
    <w:rsid w:val="00B2477F"/>
    <w:rsid w:val="00B249FC"/>
    <w:rsid w:val="00B25A75"/>
    <w:rsid w:val="00B317E7"/>
    <w:rsid w:val="00B33A57"/>
    <w:rsid w:val="00B34083"/>
    <w:rsid w:val="00B37728"/>
    <w:rsid w:val="00B45C64"/>
    <w:rsid w:val="00B46A32"/>
    <w:rsid w:val="00B46B29"/>
    <w:rsid w:val="00B53547"/>
    <w:rsid w:val="00B53597"/>
    <w:rsid w:val="00B55D3E"/>
    <w:rsid w:val="00B62590"/>
    <w:rsid w:val="00B6729F"/>
    <w:rsid w:val="00B82627"/>
    <w:rsid w:val="00B86809"/>
    <w:rsid w:val="00B90AA7"/>
    <w:rsid w:val="00B94335"/>
    <w:rsid w:val="00BA65E5"/>
    <w:rsid w:val="00BB09DF"/>
    <w:rsid w:val="00BB3FC5"/>
    <w:rsid w:val="00BB65CA"/>
    <w:rsid w:val="00BC2B3B"/>
    <w:rsid w:val="00BC4579"/>
    <w:rsid w:val="00BD3D24"/>
    <w:rsid w:val="00C0018A"/>
    <w:rsid w:val="00C00905"/>
    <w:rsid w:val="00C035B5"/>
    <w:rsid w:val="00C11ABD"/>
    <w:rsid w:val="00C14FB2"/>
    <w:rsid w:val="00C222F7"/>
    <w:rsid w:val="00C24839"/>
    <w:rsid w:val="00C27C23"/>
    <w:rsid w:val="00C41C84"/>
    <w:rsid w:val="00C554D4"/>
    <w:rsid w:val="00C61B02"/>
    <w:rsid w:val="00C72165"/>
    <w:rsid w:val="00C83041"/>
    <w:rsid w:val="00C90B42"/>
    <w:rsid w:val="00C9475D"/>
    <w:rsid w:val="00C95056"/>
    <w:rsid w:val="00C951FD"/>
    <w:rsid w:val="00CA7F28"/>
    <w:rsid w:val="00CB0768"/>
    <w:rsid w:val="00CB131F"/>
    <w:rsid w:val="00CB4DCD"/>
    <w:rsid w:val="00CB4F2D"/>
    <w:rsid w:val="00CB6FE9"/>
    <w:rsid w:val="00CC1690"/>
    <w:rsid w:val="00CC665A"/>
    <w:rsid w:val="00CE34DC"/>
    <w:rsid w:val="00D04044"/>
    <w:rsid w:val="00D07FB4"/>
    <w:rsid w:val="00D21FA8"/>
    <w:rsid w:val="00D236B7"/>
    <w:rsid w:val="00D23E48"/>
    <w:rsid w:val="00D43096"/>
    <w:rsid w:val="00D46AB2"/>
    <w:rsid w:val="00D47021"/>
    <w:rsid w:val="00D656EB"/>
    <w:rsid w:val="00D771FD"/>
    <w:rsid w:val="00D7796D"/>
    <w:rsid w:val="00D81B18"/>
    <w:rsid w:val="00D83541"/>
    <w:rsid w:val="00D93A16"/>
    <w:rsid w:val="00D9496D"/>
    <w:rsid w:val="00DA0768"/>
    <w:rsid w:val="00DA161A"/>
    <w:rsid w:val="00DB2355"/>
    <w:rsid w:val="00DB3BB4"/>
    <w:rsid w:val="00DC0F8D"/>
    <w:rsid w:val="00DC2284"/>
    <w:rsid w:val="00DC3CA4"/>
    <w:rsid w:val="00DD7F91"/>
    <w:rsid w:val="00DE4578"/>
    <w:rsid w:val="00DF04EE"/>
    <w:rsid w:val="00DF3E35"/>
    <w:rsid w:val="00E03ED5"/>
    <w:rsid w:val="00E06243"/>
    <w:rsid w:val="00E1688C"/>
    <w:rsid w:val="00E22665"/>
    <w:rsid w:val="00E30499"/>
    <w:rsid w:val="00E30B51"/>
    <w:rsid w:val="00E324BB"/>
    <w:rsid w:val="00E377E8"/>
    <w:rsid w:val="00E43464"/>
    <w:rsid w:val="00E47A69"/>
    <w:rsid w:val="00E571BB"/>
    <w:rsid w:val="00E674AF"/>
    <w:rsid w:val="00E74435"/>
    <w:rsid w:val="00E758AD"/>
    <w:rsid w:val="00E77D4E"/>
    <w:rsid w:val="00E87F02"/>
    <w:rsid w:val="00E91860"/>
    <w:rsid w:val="00E933DB"/>
    <w:rsid w:val="00E954B7"/>
    <w:rsid w:val="00E96FDB"/>
    <w:rsid w:val="00EA107B"/>
    <w:rsid w:val="00EB33E8"/>
    <w:rsid w:val="00EC16F1"/>
    <w:rsid w:val="00ED05D6"/>
    <w:rsid w:val="00ED0C6F"/>
    <w:rsid w:val="00ED14B5"/>
    <w:rsid w:val="00ED2FCC"/>
    <w:rsid w:val="00EE331E"/>
    <w:rsid w:val="00EE3714"/>
    <w:rsid w:val="00EE5F75"/>
    <w:rsid w:val="00EF2722"/>
    <w:rsid w:val="00EF6805"/>
    <w:rsid w:val="00F00508"/>
    <w:rsid w:val="00F042DC"/>
    <w:rsid w:val="00F105EA"/>
    <w:rsid w:val="00F11117"/>
    <w:rsid w:val="00F22035"/>
    <w:rsid w:val="00F22D18"/>
    <w:rsid w:val="00F25ABA"/>
    <w:rsid w:val="00F360BB"/>
    <w:rsid w:val="00F46927"/>
    <w:rsid w:val="00F55854"/>
    <w:rsid w:val="00F70A7C"/>
    <w:rsid w:val="00F72C93"/>
    <w:rsid w:val="00F823F5"/>
    <w:rsid w:val="00F9170D"/>
    <w:rsid w:val="00F9494C"/>
    <w:rsid w:val="00FA15C8"/>
    <w:rsid w:val="00FA2D86"/>
    <w:rsid w:val="00FA348C"/>
    <w:rsid w:val="00FB0AD8"/>
    <w:rsid w:val="00FB27C3"/>
    <w:rsid w:val="00FE1EA2"/>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er" w:uiPriority="99"/>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7E7"/>
    <w:pPr>
      <w:tabs>
        <w:tab w:val="left" w:pos="567"/>
      </w:tabs>
      <w:spacing w:after="80" w:line="320" w:lineRule="atLeast"/>
    </w:pPr>
    <w:rPr>
      <w:sz w:val="24"/>
      <w:szCs w:val="24"/>
    </w:rPr>
  </w:style>
  <w:style w:type="paragraph" w:styleId="Heading1">
    <w:name w:val="heading 1"/>
    <w:basedOn w:val="Normal"/>
    <w:next w:val="Heading2"/>
    <w:link w:val="Heading1Char"/>
    <w:qFormat/>
    <w:rsid w:val="00F9170D"/>
    <w:pPr>
      <w:keepNext/>
      <w:pBdr>
        <w:bottom w:val="single" w:sz="6" w:space="1" w:color="auto"/>
      </w:pBdr>
      <w:tabs>
        <w:tab w:val="clear" w:pos="567"/>
      </w:tabs>
      <w:spacing w:before="2400" w:after="200" w:line="240" w:lineRule="auto"/>
      <w:outlineLvl w:val="0"/>
    </w:pPr>
    <w:rPr>
      <w:rFonts w:cs="Arial"/>
      <w:b/>
      <w:bCs/>
      <w:caps/>
      <w:sz w:val="40"/>
      <w:szCs w:val="32"/>
    </w:rPr>
  </w:style>
  <w:style w:type="paragraph" w:styleId="Heading2">
    <w:name w:val="heading 2"/>
    <w:basedOn w:val="Normal"/>
    <w:next w:val="Heading3"/>
    <w:link w:val="Heading2Char"/>
    <w:qFormat/>
    <w:rsid w:val="003A27BB"/>
    <w:pPr>
      <w:keepNext/>
      <w:tabs>
        <w:tab w:val="clear" w:pos="567"/>
      </w:tabs>
      <w:spacing w:after="720" w:line="240" w:lineRule="auto"/>
      <w:outlineLvl w:val="1"/>
    </w:pPr>
    <w:rPr>
      <w:b/>
      <w:caps/>
      <w:color w:val="808080" w:themeColor="background1" w:themeShade="80"/>
      <w:sz w:val="40"/>
      <w:szCs w:val="40"/>
    </w:rPr>
  </w:style>
  <w:style w:type="paragraph" w:styleId="Heading3">
    <w:name w:val="heading 3"/>
    <w:basedOn w:val="Normal"/>
    <w:next w:val="Heading4"/>
    <w:link w:val="Heading3Char"/>
    <w:qFormat/>
    <w:rsid w:val="00AE67A0"/>
    <w:pPr>
      <w:keepNext/>
      <w:tabs>
        <w:tab w:val="clear" w:pos="567"/>
      </w:tabs>
      <w:spacing w:before="600" w:after="200" w:line="240" w:lineRule="auto"/>
      <w:outlineLvl w:val="2"/>
    </w:pPr>
    <w:rPr>
      <w:b/>
      <w:caps/>
      <w:szCs w:val="20"/>
    </w:rPr>
  </w:style>
  <w:style w:type="paragraph" w:styleId="Heading4">
    <w:name w:val="heading 4"/>
    <w:basedOn w:val="Normal"/>
    <w:next w:val="CGCNumberedPara"/>
    <w:link w:val="Heading4Char"/>
    <w:qFormat/>
    <w:rsid w:val="00F9170D"/>
    <w:pPr>
      <w:keepNext/>
      <w:tabs>
        <w:tab w:val="clear" w:pos="567"/>
      </w:tabs>
      <w:spacing w:before="300" w:after="40" w:line="240" w:lineRule="auto"/>
      <w:outlineLvl w:val="3"/>
    </w:pPr>
    <w:rPr>
      <w:b/>
      <w:szCs w:val="20"/>
    </w:rPr>
  </w:style>
  <w:style w:type="paragraph" w:styleId="Heading5">
    <w:name w:val="heading 5"/>
    <w:basedOn w:val="Normal"/>
    <w:next w:val="CGCNumberedPara"/>
    <w:link w:val="Heading5Char"/>
    <w:qFormat/>
    <w:rsid w:val="003A27BB"/>
    <w:pPr>
      <w:keepNext/>
      <w:tabs>
        <w:tab w:val="clear" w:pos="567"/>
      </w:tabs>
      <w:spacing w:before="180" w:after="40" w:line="240" w:lineRule="auto"/>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line="240" w:lineRule="auto"/>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line="240" w:lineRule="auto"/>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rsid w:val="00F9170D"/>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B317E7"/>
    <w:pPr>
      <w:numPr>
        <w:numId w:val="10"/>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BB3FC5"/>
    <w:pPr>
      <w:numPr>
        <w:numId w:val="11"/>
      </w:numPr>
      <w:tabs>
        <w:tab w:val="clear" w:pos="567"/>
      </w:tabs>
      <w:spacing w:line="300" w:lineRule="atLeast"/>
      <w:ind w:left="2268" w:hanging="567"/>
    </w:pPr>
    <w:rPr>
      <w:szCs w:val="20"/>
    </w:rPr>
  </w:style>
  <w:style w:type="paragraph" w:customStyle="1" w:styleId="CGCNumberedPara">
    <w:name w:val="CGC Numbered Para"/>
    <w:aliases w:val="CGC Para No"/>
    <w:basedOn w:val="Normal"/>
    <w:qFormat/>
    <w:rsid w:val="00F9170D"/>
    <w:pPr>
      <w:numPr>
        <w:ilvl w:val="1"/>
        <w:numId w:val="26"/>
      </w:numPr>
      <w:spacing w:before="120"/>
    </w:pPr>
  </w:style>
  <w:style w:type="paragraph" w:customStyle="1" w:styleId="CGCQuotation">
    <w:name w:val="CGC Quotation"/>
    <w:basedOn w:val="Normal"/>
    <w:next w:val="CGCNumberedPara"/>
    <w:rsid w:val="003A27BB"/>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B317E7"/>
    <w:pPr>
      <w:numPr>
        <w:numId w:val="13"/>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rPr>
      <w:sz w:val="22"/>
    </w:rPr>
  </w:style>
  <w:style w:type="paragraph" w:customStyle="1" w:styleId="CGCTableFootnote">
    <w:name w:val="CGC Table Footnote"/>
    <w:basedOn w:val="CGCNumberedPara"/>
    <w:next w:val="NoSpacing"/>
    <w:qFormat/>
    <w:rsid w:val="00172F3A"/>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C035B5"/>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765BA8"/>
    <w:pPr>
      <w:spacing w:after="0" w:line="240" w:lineRule="auto"/>
      <w:ind w:left="567" w:hanging="567"/>
    </w:pPr>
    <w:rPr>
      <w:sz w:val="20"/>
      <w:szCs w:val="20"/>
    </w:rPr>
  </w:style>
  <w:style w:type="paragraph" w:styleId="Header">
    <w:name w:val="header"/>
    <w:basedOn w:val="Normal"/>
    <w:link w:val="HeaderChar"/>
    <w:rsid w:val="00C11ABD"/>
    <w:pPr>
      <w:tabs>
        <w:tab w:val="clear" w:pos="567"/>
      </w:tabs>
    </w:pPr>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szCs w:val="22"/>
    </w:rPr>
  </w:style>
  <w:style w:type="paragraph" w:styleId="TOC4">
    <w:name w:val="toc 4"/>
    <w:basedOn w:val="Normal"/>
    <w:next w:val="Normal"/>
    <w:rsid w:val="00996409"/>
    <w:pPr>
      <w:tabs>
        <w:tab w:val="clear" w:pos="567"/>
        <w:tab w:val="right" w:pos="8942"/>
      </w:tabs>
      <w:spacing w:after="0"/>
      <w:ind w:left="1134"/>
    </w:pPr>
    <w:rPr>
      <w:szCs w:val="22"/>
    </w:r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AE67A0"/>
    <w:rPr>
      <w:b/>
      <w:caps/>
      <w:sz w:val="24"/>
      <w:szCs w:val="20"/>
    </w:rPr>
  </w:style>
  <w:style w:type="character" w:customStyle="1" w:styleId="Heading4Char">
    <w:name w:val="Heading 4 Char"/>
    <w:basedOn w:val="DefaultParagraphFont"/>
    <w:link w:val="Heading4"/>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pPr>
      <w:spacing w:after="0" w:line="240" w:lineRule="auto"/>
    </w:pPr>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 w:type="character" w:customStyle="1" w:styleId="FootnoteTextChar">
    <w:name w:val="Footnote Text Char"/>
    <w:basedOn w:val="DefaultParagraphFont"/>
    <w:link w:val="FootnoteText"/>
    <w:rsid w:val="00FE1EA2"/>
    <w:rPr>
      <w:sz w:val="20"/>
      <w:szCs w:val="20"/>
    </w:rPr>
  </w:style>
  <w:style w:type="character" w:customStyle="1" w:styleId="CGCBulletlistCharChar">
    <w:name w:val="CGC Bullet list Char Char"/>
    <w:basedOn w:val="DefaultParagraphFont"/>
    <w:link w:val="CGCBulletlist"/>
    <w:rsid w:val="00FE1EA2"/>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er" w:uiPriority="99"/>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7E7"/>
    <w:pPr>
      <w:tabs>
        <w:tab w:val="left" w:pos="567"/>
      </w:tabs>
      <w:spacing w:after="80" w:line="320" w:lineRule="atLeast"/>
    </w:pPr>
    <w:rPr>
      <w:sz w:val="24"/>
      <w:szCs w:val="24"/>
    </w:rPr>
  </w:style>
  <w:style w:type="paragraph" w:styleId="Heading1">
    <w:name w:val="heading 1"/>
    <w:basedOn w:val="Normal"/>
    <w:next w:val="Heading2"/>
    <w:link w:val="Heading1Char"/>
    <w:qFormat/>
    <w:rsid w:val="00F9170D"/>
    <w:pPr>
      <w:keepNext/>
      <w:pBdr>
        <w:bottom w:val="single" w:sz="6" w:space="1" w:color="auto"/>
      </w:pBdr>
      <w:tabs>
        <w:tab w:val="clear" w:pos="567"/>
      </w:tabs>
      <w:spacing w:before="2400" w:after="200" w:line="240" w:lineRule="auto"/>
      <w:outlineLvl w:val="0"/>
    </w:pPr>
    <w:rPr>
      <w:rFonts w:cs="Arial"/>
      <w:b/>
      <w:bCs/>
      <w:caps/>
      <w:sz w:val="40"/>
      <w:szCs w:val="32"/>
    </w:rPr>
  </w:style>
  <w:style w:type="paragraph" w:styleId="Heading2">
    <w:name w:val="heading 2"/>
    <w:basedOn w:val="Normal"/>
    <w:next w:val="Heading3"/>
    <w:link w:val="Heading2Char"/>
    <w:qFormat/>
    <w:rsid w:val="003A27BB"/>
    <w:pPr>
      <w:keepNext/>
      <w:tabs>
        <w:tab w:val="clear" w:pos="567"/>
      </w:tabs>
      <w:spacing w:after="720" w:line="240" w:lineRule="auto"/>
      <w:outlineLvl w:val="1"/>
    </w:pPr>
    <w:rPr>
      <w:b/>
      <w:caps/>
      <w:color w:val="808080" w:themeColor="background1" w:themeShade="80"/>
      <w:sz w:val="40"/>
      <w:szCs w:val="40"/>
    </w:rPr>
  </w:style>
  <w:style w:type="paragraph" w:styleId="Heading3">
    <w:name w:val="heading 3"/>
    <w:basedOn w:val="Normal"/>
    <w:next w:val="Heading4"/>
    <w:link w:val="Heading3Char"/>
    <w:qFormat/>
    <w:rsid w:val="00AE67A0"/>
    <w:pPr>
      <w:keepNext/>
      <w:tabs>
        <w:tab w:val="clear" w:pos="567"/>
      </w:tabs>
      <w:spacing w:before="600" w:after="200" w:line="240" w:lineRule="auto"/>
      <w:outlineLvl w:val="2"/>
    </w:pPr>
    <w:rPr>
      <w:b/>
      <w:caps/>
      <w:szCs w:val="20"/>
    </w:rPr>
  </w:style>
  <w:style w:type="paragraph" w:styleId="Heading4">
    <w:name w:val="heading 4"/>
    <w:basedOn w:val="Normal"/>
    <w:next w:val="CGCNumberedPara"/>
    <w:link w:val="Heading4Char"/>
    <w:qFormat/>
    <w:rsid w:val="00F9170D"/>
    <w:pPr>
      <w:keepNext/>
      <w:tabs>
        <w:tab w:val="clear" w:pos="567"/>
      </w:tabs>
      <w:spacing w:before="300" w:after="40" w:line="240" w:lineRule="auto"/>
      <w:outlineLvl w:val="3"/>
    </w:pPr>
    <w:rPr>
      <w:b/>
      <w:szCs w:val="20"/>
    </w:rPr>
  </w:style>
  <w:style w:type="paragraph" w:styleId="Heading5">
    <w:name w:val="heading 5"/>
    <w:basedOn w:val="Normal"/>
    <w:next w:val="CGCNumberedPara"/>
    <w:link w:val="Heading5Char"/>
    <w:qFormat/>
    <w:rsid w:val="003A27BB"/>
    <w:pPr>
      <w:keepNext/>
      <w:tabs>
        <w:tab w:val="clear" w:pos="567"/>
      </w:tabs>
      <w:spacing w:before="180" w:after="40" w:line="240" w:lineRule="auto"/>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line="240" w:lineRule="auto"/>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line="240" w:lineRule="auto"/>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rsid w:val="00F9170D"/>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B317E7"/>
    <w:pPr>
      <w:numPr>
        <w:numId w:val="10"/>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BB3FC5"/>
    <w:pPr>
      <w:numPr>
        <w:numId w:val="11"/>
      </w:numPr>
      <w:tabs>
        <w:tab w:val="clear" w:pos="567"/>
      </w:tabs>
      <w:spacing w:line="300" w:lineRule="atLeast"/>
      <w:ind w:left="2268" w:hanging="567"/>
    </w:pPr>
    <w:rPr>
      <w:szCs w:val="20"/>
    </w:rPr>
  </w:style>
  <w:style w:type="paragraph" w:customStyle="1" w:styleId="CGCNumberedPara">
    <w:name w:val="CGC Numbered Para"/>
    <w:aliases w:val="CGC Para No"/>
    <w:basedOn w:val="Normal"/>
    <w:qFormat/>
    <w:rsid w:val="00F9170D"/>
    <w:pPr>
      <w:numPr>
        <w:ilvl w:val="1"/>
        <w:numId w:val="26"/>
      </w:numPr>
      <w:spacing w:before="120"/>
    </w:pPr>
  </w:style>
  <w:style w:type="paragraph" w:customStyle="1" w:styleId="CGCQuotation">
    <w:name w:val="CGC Quotation"/>
    <w:basedOn w:val="Normal"/>
    <w:next w:val="CGCNumberedPara"/>
    <w:rsid w:val="003A27BB"/>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B317E7"/>
    <w:pPr>
      <w:numPr>
        <w:numId w:val="13"/>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rPr>
      <w:sz w:val="22"/>
    </w:rPr>
  </w:style>
  <w:style w:type="paragraph" w:customStyle="1" w:styleId="CGCTableFootnote">
    <w:name w:val="CGC Table Footnote"/>
    <w:basedOn w:val="CGCNumberedPara"/>
    <w:next w:val="NoSpacing"/>
    <w:qFormat/>
    <w:rsid w:val="00172F3A"/>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C035B5"/>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765BA8"/>
    <w:pPr>
      <w:spacing w:after="0" w:line="240" w:lineRule="auto"/>
      <w:ind w:left="567" w:hanging="567"/>
    </w:pPr>
    <w:rPr>
      <w:sz w:val="20"/>
      <w:szCs w:val="20"/>
    </w:rPr>
  </w:style>
  <w:style w:type="paragraph" w:styleId="Header">
    <w:name w:val="header"/>
    <w:basedOn w:val="Normal"/>
    <w:link w:val="HeaderChar"/>
    <w:rsid w:val="00C11ABD"/>
    <w:pPr>
      <w:tabs>
        <w:tab w:val="clear" w:pos="567"/>
      </w:tabs>
    </w:pPr>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szCs w:val="22"/>
    </w:rPr>
  </w:style>
  <w:style w:type="paragraph" w:styleId="TOC4">
    <w:name w:val="toc 4"/>
    <w:basedOn w:val="Normal"/>
    <w:next w:val="Normal"/>
    <w:rsid w:val="00996409"/>
    <w:pPr>
      <w:tabs>
        <w:tab w:val="clear" w:pos="567"/>
        <w:tab w:val="right" w:pos="8942"/>
      </w:tabs>
      <w:spacing w:after="0"/>
      <w:ind w:left="1134"/>
    </w:pPr>
    <w:rPr>
      <w:szCs w:val="22"/>
    </w:r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AE67A0"/>
    <w:rPr>
      <w:b/>
      <w:caps/>
      <w:sz w:val="24"/>
      <w:szCs w:val="20"/>
    </w:rPr>
  </w:style>
  <w:style w:type="character" w:customStyle="1" w:styleId="Heading4Char">
    <w:name w:val="Heading 4 Char"/>
    <w:basedOn w:val="DefaultParagraphFont"/>
    <w:link w:val="Heading4"/>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pPr>
      <w:spacing w:after="0" w:line="240" w:lineRule="auto"/>
    </w:pPr>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 w:type="character" w:customStyle="1" w:styleId="FootnoteTextChar">
    <w:name w:val="Footnote Text Char"/>
    <w:basedOn w:val="DefaultParagraphFont"/>
    <w:link w:val="FootnoteText"/>
    <w:rsid w:val="00FE1EA2"/>
    <w:rPr>
      <w:sz w:val="20"/>
      <w:szCs w:val="20"/>
    </w:rPr>
  </w:style>
  <w:style w:type="character" w:customStyle="1" w:styleId="CGCBulletlistCharChar">
    <w:name w:val="CGC Bullet list Char Char"/>
    <w:basedOn w:val="DefaultParagraphFont"/>
    <w:link w:val="CGCBulletlist"/>
    <w:rsid w:val="00FE1EA2"/>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2992">
      <w:bodyDiv w:val="1"/>
      <w:marLeft w:val="0"/>
      <w:marRight w:val="0"/>
      <w:marTop w:val="0"/>
      <w:marBottom w:val="0"/>
      <w:divBdr>
        <w:top w:val="none" w:sz="0" w:space="0" w:color="auto"/>
        <w:left w:val="none" w:sz="0" w:space="0" w:color="auto"/>
        <w:bottom w:val="none" w:sz="0" w:space="0" w:color="auto"/>
        <w:right w:val="none" w:sz="0" w:space="0" w:color="auto"/>
      </w:divBdr>
    </w:div>
    <w:div w:id="56586232">
      <w:bodyDiv w:val="1"/>
      <w:marLeft w:val="0"/>
      <w:marRight w:val="0"/>
      <w:marTop w:val="0"/>
      <w:marBottom w:val="0"/>
      <w:divBdr>
        <w:top w:val="none" w:sz="0" w:space="0" w:color="auto"/>
        <w:left w:val="none" w:sz="0" w:space="0" w:color="auto"/>
        <w:bottom w:val="none" w:sz="0" w:space="0" w:color="auto"/>
        <w:right w:val="none" w:sz="0" w:space="0" w:color="auto"/>
      </w:divBdr>
    </w:div>
    <w:div w:id="93786617">
      <w:bodyDiv w:val="1"/>
      <w:marLeft w:val="0"/>
      <w:marRight w:val="0"/>
      <w:marTop w:val="0"/>
      <w:marBottom w:val="0"/>
      <w:divBdr>
        <w:top w:val="none" w:sz="0" w:space="0" w:color="auto"/>
        <w:left w:val="none" w:sz="0" w:space="0" w:color="auto"/>
        <w:bottom w:val="none" w:sz="0" w:space="0" w:color="auto"/>
        <w:right w:val="none" w:sz="0" w:space="0" w:color="auto"/>
      </w:divBdr>
    </w:div>
    <w:div w:id="143399034">
      <w:bodyDiv w:val="1"/>
      <w:marLeft w:val="0"/>
      <w:marRight w:val="0"/>
      <w:marTop w:val="0"/>
      <w:marBottom w:val="0"/>
      <w:divBdr>
        <w:top w:val="none" w:sz="0" w:space="0" w:color="auto"/>
        <w:left w:val="none" w:sz="0" w:space="0" w:color="auto"/>
        <w:bottom w:val="none" w:sz="0" w:space="0" w:color="auto"/>
        <w:right w:val="none" w:sz="0" w:space="0" w:color="auto"/>
      </w:divBdr>
    </w:div>
    <w:div w:id="327944104">
      <w:bodyDiv w:val="1"/>
      <w:marLeft w:val="0"/>
      <w:marRight w:val="0"/>
      <w:marTop w:val="0"/>
      <w:marBottom w:val="0"/>
      <w:divBdr>
        <w:top w:val="none" w:sz="0" w:space="0" w:color="auto"/>
        <w:left w:val="none" w:sz="0" w:space="0" w:color="auto"/>
        <w:bottom w:val="none" w:sz="0" w:space="0" w:color="auto"/>
        <w:right w:val="none" w:sz="0" w:space="0" w:color="auto"/>
      </w:divBdr>
    </w:div>
    <w:div w:id="400104719">
      <w:bodyDiv w:val="1"/>
      <w:marLeft w:val="0"/>
      <w:marRight w:val="0"/>
      <w:marTop w:val="0"/>
      <w:marBottom w:val="0"/>
      <w:divBdr>
        <w:top w:val="none" w:sz="0" w:space="0" w:color="auto"/>
        <w:left w:val="none" w:sz="0" w:space="0" w:color="auto"/>
        <w:bottom w:val="none" w:sz="0" w:space="0" w:color="auto"/>
        <w:right w:val="none" w:sz="0" w:space="0" w:color="auto"/>
      </w:divBdr>
    </w:div>
    <w:div w:id="684356809">
      <w:bodyDiv w:val="1"/>
      <w:marLeft w:val="0"/>
      <w:marRight w:val="0"/>
      <w:marTop w:val="0"/>
      <w:marBottom w:val="0"/>
      <w:divBdr>
        <w:top w:val="none" w:sz="0" w:space="0" w:color="auto"/>
        <w:left w:val="none" w:sz="0" w:space="0" w:color="auto"/>
        <w:bottom w:val="none" w:sz="0" w:space="0" w:color="auto"/>
        <w:right w:val="none" w:sz="0" w:space="0" w:color="auto"/>
      </w:divBdr>
    </w:div>
    <w:div w:id="979572583">
      <w:bodyDiv w:val="1"/>
      <w:marLeft w:val="0"/>
      <w:marRight w:val="0"/>
      <w:marTop w:val="0"/>
      <w:marBottom w:val="0"/>
      <w:divBdr>
        <w:top w:val="none" w:sz="0" w:space="0" w:color="auto"/>
        <w:left w:val="none" w:sz="0" w:space="0" w:color="auto"/>
        <w:bottom w:val="none" w:sz="0" w:space="0" w:color="auto"/>
        <w:right w:val="none" w:sz="0" w:space="0" w:color="auto"/>
      </w:divBdr>
    </w:div>
    <w:div w:id="985938429">
      <w:bodyDiv w:val="1"/>
      <w:marLeft w:val="0"/>
      <w:marRight w:val="0"/>
      <w:marTop w:val="0"/>
      <w:marBottom w:val="0"/>
      <w:divBdr>
        <w:top w:val="none" w:sz="0" w:space="0" w:color="auto"/>
        <w:left w:val="none" w:sz="0" w:space="0" w:color="auto"/>
        <w:bottom w:val="none" w:sz="0" w:space="0" w:color="auto"/>
        <w:right w:val="none" w:sz="0" w:space="0" w:color="auto"/>
      </w:divBdr>
    </w:div>
    <w:div w:id="1015421641">
      <w:bodyDiv w:val="1"/>
      <w:marLeft w:val="0"/>
      <w:marRight w:val="0"/>
      <w:marTop w:val="0"/>
      <w:marBottom w:val="0"/>
      <w:divBdr>
        <w:top w:val="none" w:sz="0" w:space="0" w:color="auto"/>
        <w:left w:val="none" w:sz="0" w:space="0" w:color="auto"/>
        <w:bottom w:val="none" w:sz="0" w:space="0" w:color="auto"/>
        <w:right w:val="none" w:sz="0" w:space="0" w:color="auto"/>
      </w:divBdr>
    </w:div>
    <w:div w:id="1110661324">
      <w:bodyDiv w:val="1"/>
      <w:marLeft w:val="0"/>
      <w:marRight w:val="0"/>
      <w:marTop w:val="0"/>
      <w:marBottom w:val="0"/>
      <w:divBdr>
        <w:top w:val="none" w:sz="0" w:space="0" w:color="auto"/>
        <w:left w:val="none" w:sz="0" w:space="0" w:color="auto"/>
        <w:bottom w:val="none" w:sz="0" w:space="0" w:color="auto"/>
        <w:right w:val="none" w:sz="0" w:space="0" w:color="auto"/>
      </w:divBdr>
    </w:div>
    <w:div w:id="1472090854">
      <w:bodyDiv w:val="1"/>
      <w:marLeft w:val="0"/>
      <w:marRight w:val="0"/>
      <w:marTop w:val="0"/>
      <w:marBottom w:val="0"/>
      <w:divBdr>
        <w:top w:val="none" w:sz="0" w:space="0" w:color="auto"/>
        <w:left w:val="none" w:sz="0" w:space="0" w:color="auto"/>
        <w:bottom w:val="none" w:sz="0" w:space="0" w:color="auto"/>
        <w:right w:val="none" w:sz="0" w:space="0" w:color="auto"/>
      </w:divBdr>
    </w:div>
    <w:div w:id="1720130884">
      <w:bodyDiv w:val="1"/>
      <w:marLeft w:val="0"/>
      <w:marRight w:val="0"/>
      <w:marTop w:val="0"/>
      <w:marBottom w:val="0"/>
      <w:divBdr>
        <w:top w:val="none" w:sz="0" w:space="0" w:color="auto"/>
        <w:left w:val="none" w:sz="0" w:space="0" w:color="auto"/>
        <w:bottom w:val="none" w:sz="0" w:space="0" w:color="auto"/>
        <w:right w:val="none" w:sz="0" w:space="0" w:color="auto"/>
      </w:divBdr>
    </w:div>
    <w:div w:id="1907447374">
      <w:bodyDiv w:val="1"/>
      <w:marLeft w:val="0"/>
      <w:marRight w:val="0"/>
      <w:marTop w:val="0"/>
      <w:marBottom w:val="0"/>
      <w:divBdr>
        <w:top w:val="none" w:sz="0" w:space="0" w:color="auto"/>
        <w:left w:val="none" w:sz="0" w:space="0" w:color="auto"/>
        <w:bottom w:val="none" w:sz="0" w:space="0" w:color="auto"/>
        <w:right w:val="none" w:sz="0" w:space="0" w:color="auto"/>
      </w:divBdr>
    </w:div>
    <w:div w:id="1986739953">
      <w:bodyDiv w:val="1"/>
      <w:marLeft w:val="0"/>
      <w:marRight w:val="0"/>
      <w:marTop w:val="0"/>
      <w:marBottom w:val="0"/>
      <w:divBdr>
        <w:top w:val="none" w:sz="0" w:space="0" w:color="auto"/>
        <w:left w:val="none" w:sz="0" w:space="0" w:color="auto"/>
        <w:bottom w:val="none" w:sz="0" w:space="0" w:color="auto"/>
        <w:right w:val="none" w:sz="0" w:space="0" w:color="auto"/>
      </w:divBdr>
    </w:div>
    <w:div w:id="20918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cgc.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mailto:Tim.Carlton@cgc.gov.au"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ativecommons.org"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2011%20templates\Discuss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C1EC-A07D-49CF-BAE6-5E30DEF5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Paper.dotx</Template>
  <TotalTime>0</TotalTime>
  <Pages>13</Pages>
  <Words>3225</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t:lpstr>
    </vt:vector>
  </TitlesOfParts>
  <Company>Commonwealth Grants Commission</Company>
  <LinksUpToDate>false</LinksUpToDate>
  <CharactersWithSpaces>20724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Tim Carlton</dc:creator>
  <cp:lastModifiedBy>Jenny Connolly</cp:lastModifiedBy>
  <cp:revision>2</cp:revision>
  <cp:lastPrinted>2013-04-22T07:29:00Z</cp:lastPrinted>
  <dcterms:created xsi:type="dcterms:W3CDTF">2013-04-26T00:28:00Z</dcterms:created>
  <dcterms:modified xsi:type="dcterms:W3CDTF">2013-04-26T00:28:00Z</dcterms:modified>
</cp:coreProperties>
</file>